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96A7CF" w14:textId="77777777" w:rsidR="00AA714E" w:rsidRPr="00220394" w:rsidRDefault="00546B1F">
      <w:pPr>
        <w:pStyle w:val="Ttulo1"/>
        <w:keepNext w:val="0"/>
        <w:keepLines w:val="0"/>
        <w:spacing w:before="120" w:line="360" w:lineRule="auto"/>
        <w:rPr>
          <w:rFonts w:ascii="Helvetica" w:eastAsia="Helvetica Neue" w:hAnsi="Helvetica" w:cs="Helvetica"/>
        </w:rPr>
      </w:pPr>
      <w:bookmarkStart w:id="0" w:name="_heading=h.gjdgxs" w:colFirst="0" w:colLast="0"/>
      <w:bookmarkEnd w:id="0"/>
      <w:r w:rsidRPr="00220394">
        <w:rPr>
          <w:rFonts w:ascii="Helvetica" w:hAnsi="Helvetica" w:cs="Helvetica"/>
          <w:noProof/>
        </w:rPr>
        <w:drawing>
          <wp:anchor distT="0" distB="0" distL="0" distR="0" simplePos="0" relativeHeight="251658240" behindDoc="1" locked="0" layoutInCell="1" hidden="0" allowOverlap="1" wp14:anchorId="665EB28A" wp14:editId="59F4333F">
            <wp:simplePos x="0" y="0"/>
            <wp:positionH relativeFrom="column">
              <wp:posOffset>-1229705</wp:posOffset>
            </wp:positionH>
            <wp:positionV relativeFrom="paragraph">
              <wp:posOffset>-921203</wp:posOffset>
            </wp:positionV>
            <wp:extent cx="7801927" cy="10848975"/>
            <wp:effectExtent l="0" t="0" r="0" b="0"/>
            <wp:wrapNone/>
            <wp:docPr id="68" name="image5.png" descr="Macintosh HD:Users:veronica:Desktop:ine:portada.png"/>
            <wp:cNvGraphicFramePr/>
            <a:graphic xmlns:a="http://schemas.openxmlformats.org/drawingml/2006/main">
              <a:graphicData uri="http://schemas.openxmlformats.org/drawingml/2006/picture">
                <pic:pic xmlns:pic="http://schemas.openxmlformats.org/drawingml/2006/picture">
                  <pic:nvPicPr>
                    <pic:cNvPr id="0" name="image5.png" descr="Macintosh HD:Users:veronica:Desktop:ine:portada.png"/>
                    <pic:cNvPicPr preferRelativeResize="0"/>
                  </pic:nvPicPr>
                  <pic:blipFill>
                    <a:blip r:embed="rId9"/>
                    <a:srcRect/>
                    <a:stretch>
                      <a:fillRect/>
                    </a:stretch>
                  </pic:blipFill>
                  <pic:spPr>
                    <a:xfrm>
                      <a:off x="0" y="0"/>
                      <a:ext cx="7801927" cy="10848975"/>
                    </a:xfrm>
                    <a:prstGeom prst="rect">
                      <a:avLst/>
                    </a:prstGeom>
                    <a:ln/>
                  </pic:spPr>
                </pic:pic>
              </a:graphicData>
            </a:graphic>
          </wp:anchor>
        </w:drawing>
      </w:r>
      <w:r w:rsidRPr="00220394">
        <w:rPr>
          <w:rFonts w:ascii="Helvetica" w:hAnsi="Helvetica" w:cs="Helvetica"/>
          <w:noProof/>
        </w:rPr>
        <mc:AlternateContent>
          <mc:Choice Requires="wps">
            <w:drawing>
              <wp:anchor distT="0" distB="0" distL="114300" distR="114300" simplePos="0" relativeHeight="251658241" behindDoc="0" locked="0" layoutInCell="1" hidden="0" allowOverlap="1" wp14:anchorId="085ECCEF" wp14:editId="37E8A685">
                <wp:simplePos x="0" y="0"/>
                <wp:positionH relativeFrom="column">
                  <wp:posOffset>279400</wp:posOffset>
                </wp:positionH>
                <wp:positionV relativeFrom="paragraph">
                  <wp:posOffset>469900</wp:posOffset>
                </wp:positionV>
                <wp:extent cx="4864735" cy="1548765"/>
                <wp:effectExtent l="0" t="0" r="0" b="0"/>
                <wp:wrapSquare wrapText="bothSides" distT="0" distB="0" distL="114300" distR="114300"/>
                <wp:docPr id="63" name="Rectángulo 63"/>
                <wp:cNvGraphicFramePr/>
                <a:graphic xmlns:a="http://schemas.openxmlformats.org/drawingml/2006/main">
                  <a:graphicData uri="http://schemas.microsoft.com/office/word/2010/wordprocessingShape">
                    <wps:wsp>
                      <wps:cNvSpPr/>
                      <wps:spPr>
                        <a:xfrm>
                          <a:off x="2918395" y="3010380"/>
                          <a:ext cx="4855210" cy="1539240"/>
                        </a:xfrm>
                        <a:prstGeom prst="rect">
                          <a:avLst/>
                        </a:prstGeom>
                        <a:noFill/>
                        <a:ln>
                          <a:noFill/>
                        </a:ln>
                      </wps:spPr>
                      <wps:txbx>
                        <w:txbxContent>
                          <w:p w14:paraId="2009F2A1" w14:textId="77777777" w:rsidR="00AA714E" w:rsidRDefault="00546B1F">
                            <w:pPr>
                              <w:jc w:val="center"/>
                              <w:textDirection w:val="btLr"/>
                            </w:pPr>
                            <w:r>
                              <w:rPr>
                                <w:rFonts w:ascii="Arial" w:eastAsia="Arial" w:hAnsi="Arial" w:cs="Arial"/>
                                <w:color w:val="000000"/>
                                <w:sz w:val="38"/>
                              </w:rPr>
                              <w:t xml:space="preserve">Proceso Electoral Local Extraordinario derivado del PEC </w:t>
                            </w:r>
                            <w:r>
                              <w:rPr>
                                <w:rFonts w:ascii="Arial" w:eastAsia="Arial" w:hAnsi="Arial" w:cs="Arial"/>
                                <w:color w:val="E1388C"/>
                                <w:sz w:val="38"/>
                              </w:rPr>
                              <w:t xml:space="preserve">2020-2021 </w:t>
                            </w:r>
                            <w:r>
                              <w:rPr>
                                <w:rFonts w:ascii="Arial" w:eastAsia="Arial" w:hAnsi="Arial" w:cs="Arial"/>
                                <w:color w:val="000000"/>
                                <w:sz w:val="38"/>
                              </w:rPr>
                              <w:t>en</w:t>
                            </w:r>
                          </w:p>
                          <w:p w14:paraId="38ADCFCC" w14:textId="77777777" w:rsidR="00AA714E" w:rsidRDefault="00546B1F">
                            <w:pPr>
                              <w:jc w:val="center"/>
                              <w:textDirection w:val="btLr"/>
                            </w:pPr>
                            <w:r>
                              <w:rPr>
                                <w:rFonts w:ascii="Arial" w:eastAsia="Arial" w:hAnsi="Arial" w:cs="Arial"/>
                                <w:b/>
                                <w:color w:val="E1388C"/>
                                <w:sz w:val="38"/>
                              </w:rPr>
                              <w:t>Atlautla, Estado de México</w:t>
                            </w:r>
                          </w:p>
                        </w:txbxContent>
                      </wps:txbx>
                      <wps:bodyPr spcFirstLastPara="1" wrap="square" lIns="91425" tIns="45700" rIns="91425" bIns="45700" anchor="t" anchorCtr="0">
                        <a:noAutofit/>
                      </wps:bodyPr>
                    </wps:wsp>
                  </a:graphicData>
                </a:graphic>
              </wp:anchor>
            </w:drawing>
          </mc:Choice>
          <mc:Fallback>
            <w:pict>
              <v:rect w14:anchorId="085ECCEF" id="Rectángulo 63" o:spid="_x0000_s1026" style="position:absolute;margin-left:22pt;margin-top:37pt;width:383.05pt;height:121.95pt;z-index:25165824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" filled="f" stroked="f">
                <v:textbox inset="2.53958mm,1.2694mm,2.53958mm,1.2694mm">
                  <w:txbxContent>
                    <w:p w14:paraId="2009F2A1" w14:textId="77777777" w:rsidR="00AA714E" w:rsidRDefault="00546B1F">
                      <w:pPr>
                        <w:jc w:val="center"/>
                        <w:textDirection w:val="btLr"/>
                      </w:pPr>
                      <w:r>
                        <w:rPr>
                          <w:rFonts w:ascii="Arial" w:eastAsia="Arial" w:hAnsi="Arial" w:cs="Arial"/>
                          <w:color w:val="000000"/>
                          <w:sz w:val="38"/>
                        </w:rPr>
                        <w:t xml:space="preserve">Proceso Electoral Local Extraordinario derivado del PEC </w:t>
                      </w:r>
                      <w:r>
                        <w:rPr>
                          <w:rFonts w:ascii="Arial" w:eastAsia="Arial" w:hAnsi="Arial" w:cs="Arial"/>
                          <w:color w:val="E1388C"/>
                          <w:sz w:val="38"/>
                        </w:rPr>
                        <w:t xml:space="preserve">2020-2021 </w:t>
                      </w:r>
                      <w:r>
                        <w:rPr>
                          <w:rFonts w:ascii="Arial" w:eastAsia="Arial" w:hAnsi="Arial" w:cs="Arial"/>
                          <w:color w:val="000000"/>
                          <w:sz w:val="38"/>
                        </w:rPr>
                        <w:t>en</w:t>
                      </w:r>
                    </w:p>
                    <w:p w14:paraId="38ADCFCC" w14:textId="77777777" w:rsidR="00AA714E" w:rsidRDefault="00546B1F">
                      <w:pPr>
                        <w:jc w:val="center"/>
                        <w:textDirection w:val="btLr"/>
                      </w:pPr>
                      <w:r>
                        <w:rPr>
                          <w:rFonts w:ascii="Arial" w:eastAsia="Arial" w:hAnsi="Arial" w:cs="Arial"/>
                          <w:b/>
                          <w:color w:val="E1388C"/>
                          <w:sz w:val="38"/>
                        </w:rPr>
                        <w:t>Atlautla, Estado de México</w:t>
                      </w:r>
                    </w:p>
                  </w:txbxContent>
                </v:textbox>
                <w10:wrap type="square"/>
              </v:rect>
            </w:pict>
          </mc:Fallback>
        </mc:AlternateContent>
      </w:r>
      <w:r w:rsidRPr="00220394">
        <w:rPr>
          <w:rFonts w:ascii="Helvetica" w:hAnsi="Helvetica" w:cs="Helvetica"/>
          <w:noProof/>
        </w:rPr>
        <mc:AlternateContent>
          <mc:Choice Requires="wps">
            <w:drawing>
              <wp:anchor distT="0" distB="0" distL="114300" distR="114300" simplePos="0" relativeHeight="251658242" behindDoc="0" locked="0" layoutInCell="1" hidden="0" allowOverlap="1" wp14:anchorId="734910E8" wp14:editId="551A9741">
                <wp:simplePos x="0" y="0"/>
                <wp:positionH relativeFrom="column">
                  <wp:posOffset>-469899</wp:posOffset>
                </wp:positionH>
                <wp:positionV relativeFrom="paragraph">
                  <wp:posOffset>0</wp:posOffset>
                </wp:positionV>
                <wp:extent cx="6635115" cy="820229"/>
                <wp:effectExtent l="0" t="0" r="0" b="0"/>
                <wp:wrapSquare wrapText="bothSides" distT="0" distB="0" distL="114300" distR="114300"/>
                <wp:docPr id="64" name="Rectángulo 64"/>
                <wp:cNvGraphicFramePr/>
                <a:graphic xmlns:a="http://schemas.openxmlformats.org/drawingml/2006/main">
                  <a:graphicData uri="http://schemas.microsoft.com/office/word/2010/wordprocessingShape">
                    <wps:wsp>
                      <wps:cNvSpPr/>
                      <wps:spPr>
                        <a:xfrm>
                          <a:off x="2014650" y="3389100"/>
                          <a:ext cx="6662700" cy="781800"/>
                        </a:xfrm>
                        <a:prstGeom prst="rect">
                          <a:avLst/>
                        </a:prstGeom>
                        <a:noFill/>
                        <a:ln>
                          <a:noFill/>
                        </a:ln>
                      </wps:spPr>
                      <wps:txbx>
                        <w:txbxContent>
                          <w:p w14:paraId="2F3D80C9" w14:textId="77777777" w:rsidR="00AA714E" w:rsidRDefault="00546B1F">
                            <w:pPr>
                              <w:jc w:val="both"/>
                              <w:textDirection w:val="btLr"/>
                            </w:pPr>
                            <w:r>
                              <w:rPr>
                                <w:rFonts w:ascii="Arial" w:eastAsia="Arial" w:hAnsi="Arial" w:cs="Arial"/>
                                <w:b/>
                                <w:color w:val="000000"/>
                                <w:sz w:val="48"/>
                              </w:rPr>
                              <w:t>Plan Integral y Calendario de Coordinación</w:t>
                            </w:r>
                          </w:p>
                        </w:txbxContent>
                      </wps:txbx>
                      <wps:bodyPr spcFirstLastPara="1" wrap="square" lIns="91425" tIns="45700" rIns="91425" bIns="45700" anchor="t" anchorCtr="0">
                        <a:noAutofit/>
                      </wps:bodyPr>
                    </wps:wsp>
                  </a:graphicData>
                </a:graphic>
              </wp:anchor>
            </w:drawing>
          </mc:Choice>
          <mc:Fallback>
            <w:pict>
              <v:rect w14:anchorId="734910E8" id="Rectángulo 64" o:spid="_x0000_s1027" style="position:absolute;margin-left:-37pt;margin-top:0;width:522.45pt;height:64.6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" filled="f" stroked="f">
                <v:textbox inset="2.53958mm,1.2694mm,2.53958mm,1.2694mm">
                  <w:txbxContent>
                    <w:p w14:paraId="2F3D80C9" w14:textId="77777777" w:rsidR="00AA714E" w:rsidRDefault="00546B1F">
                      <w:pPr>
                        <w:jc w:val="both"/>
                        <w:textDirection w:val="btLr"/>
                      </w:pPr>
                      <w:r>
                        <w:rPr>
                          <w:rFonts w:ascii="Arial" w:eastAsia="Arial" w:hAnsi="Arial" w:cs="Arial"/>
                          <w:b/>
                          <w:color w:val="000000"/>
                          <w:sz w:val="48"/>
                        </w:rPr>
                        <w:t>Plan Integral y Calendario de Coordinación</w:t>
                      </w:r>
                    </w:p>
                  </w:txbxContent>
                </v:textbox>
                <w10:wrap type="square"/>
              </v:rect>
            </w:pict>
          </mc:Fallback>
        </mc:AlternateContent>
      </w:r>
    </w:p>
    <w:p w14:paraId="67B06E63" w14:textId="77777777" w:rsidR="00AA714E" w:rsidRPr="00220394" w:rsidRDefault="00546B1F">
      <w:pPr>
        <w:pStyle w:val="Ttulo1"/>
        <w:keepNext w:val="0"/>
        <w:keepLines w:val="0"/>
        <w:spacing w:before="120" w:line="360" w:lineRule="auto"/>
        <w:jc w:val="center"/>
        <w:rPr>
          <w:rFonts w:ascii="Helvetica" w:eastAsia="Helvetica Neue" w:hAnsi="Helvetica" w:cs="Helvetica"/>
        </w:rPr>
      </w:pPr>
      <w:r w:rsidRPr="00220394">
        <w:rPr>
          <w:rFonts w:ascii="Helvetica" w:hAnsi="Helvetica" w:cs="Helvetica"/>
          <w:noProof/>
        </w:rPr>
        <w:drawing>
          <wp:anchor distT="114300" distB="114300" distL="114300" distR="114300" simplePos="0" relativeHeight="251658243" behindDoc="0" locked="0" layoutInCell="1" hidden="0" allowOverlap="1" wp14:anchorId="782985EE" wp14:editId="6C03FC2F">
            <wp:simplePos x="0" y="0"/>
            <wp:positionH relativeFrom="column">
              <wp:posOffset>-685799</wp:posOffset>
            </wp:positionH>
            <wp:positionV relativeFrom="paragraph">
              <wp:posOffset>647700</wp:posOffset>
            </wp:positionV>
            <wp:extent cx="6715404" cy="3781108"/>
            <wp:effectExtent l="0" t="0" r="0" b="0"/>
            <wp:wrapSquare wrapText="bothSides" distT="114300" distB="114300" distL="114300" distR="114300"/>
            <wp:docPr id="6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6715404" cy="3781108"/>
                    </a:xfrm>
                    <a:prstGeom prst="rect">
                      <a:avLst/>
                    </a:prstGeom>
                    <a:ln/>
                  </pic:spPr>
                </pic:pic>
              </a:graphicData>
            </a:graphic>
          </wp:anchor>
        </w:drawing>
      </w:r>
    </w:p>
    <w:p w14:paraId="7687C306" w14:textId="77777777" w:rsidR="00AA714E" w:rsidRPr="00220394" w:rsidRDefault="00AA714E">
      <w:pPr>
        <w:rPr>
          <w:rFonts w:ascii="Helvetica" w:eastAsia="Helvetica Neue" w:hAnsi="Helvetica" w:cs="Helvetica"/>
        </w:rPr>
      </w:pPr>
    </w:p>
    <w:p w14:paraId="5151AF12" w14:textId="77777777" w:rsidR="00AA714E" w:rsidRPr="00220394" w:rsidRDefault="00AA714E">
      <w:pPr>
        <w:rPr>
          <w:rFonts w:ascii="Helvetica" w:eastAsia="Helvetica Neue" w:hAnsi="Helvetica" w:cs="Helvetica"/>
        </w:rPr>
      </w:pPr>
    </w:p>
    <w:p w14:paraId="45B622FA" w14:textId="77777777" w:rsidR="00AA714E" w:rsidRPr="00220394" w:rsidRDefault="00AA714E">
      <w:pPr>
        <w:rPr>
          <w:rFonts w:ascii="Helvetica" w:eastAsia="Helvetica Neue" w:hAnsi="Helvetica" w:cs="Helvetica"/>
        </w:rPr>
      </w:pPr>
    </w:p>
    <w:p w14:paraId="776897B3" w14:textId="77777777" w:rsidR="00AA714E" w:rsidRPr="00220394" w:rsidRDefault="00AA714E">
      <w:pPr>
        <w:rPr>
          <w:rFonts w:ascii="Helvetica" w:eastAsia="Helvetica Neue" w:hAnsi="Helvetica" w:cs="Helvetica"/>
        </w:rPr>
      </w:pPr>
    </w:p>
    <w:p w14:paraId="0290A7CA" w14:textId="77777777" w:rsidR="00AA714E" w:rsidRPr="00220394" w:rsidRDefault="00AA714E">
      <w:pPr>
        <w:rPr>
          <w:rFonts w:ascii="Helvetica" w:eastAsia="Helvetica Neue" w:hAnsi="Helvetica" w:cs="Helvetica"/>
        </w:rPr>
      </w:pPr>
    </w:p>
    <w:p w14:paraId="0281AA4E" w14:textId="77777777" w:rsidR="00AA714E" w:rsidRPr="00220394" w:rsidRDefault="00546B1F">
      <w:pPr>
        <w:rPr>
          <w:rFonts w:ascii="Helvetica" w:eastAsia="Helvetica Neue" w:hAnsi="Helvetica" w:cs="Helvetica"/>
        </w:rPr>
      </w:pPr>
      <w:r w:rsidRPr="00220394">
        <w:rPr>
          <w:rFonts w:ascii="Helvetica" w:hAnsi="Helvetica" w:cs="Helvetica"/>
          <w:noProof/>
        </w:rPr>
        <w:drawing>
          <wp:anchor distT="114300" distB="114300" distL="114300" distR="114300" simplePos="0" relativeHeight="251658244" behindDoc="0" locked="0" layoutInCell="1" hidden="0" allowOverlap="1" wp14:anchorId="6FEE99AC" wp14:editId="2F8A4C67">
            <wp:simplePos x="0" y="0"/>
            <wp:positionH relativeFrom="column">
              <wp:posOffset>-253359</wp:posOffset>
            </wp:positionH>
            <wp:positionV relativeFrom="paragraph">
              <wp:posOffset>198558</wp:posOffset>
            </wp:positionV>
            <wp:extent cx="2057400" cy="638175"/>
            <wp:effectExtent l="0" t="0" r="0" b="0"/>
            <wp:wrapNone/>
            <wp:docPr id="70" name="image1.png" descr="Texto&#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Texto&#10;&#10;Descripción generada automáticamente"/>
                    <pic:cNvPicPr preferRelativeResize="0"/>
                  </pic:nvPicPr>
                  <pic:blipFill>
                    <a:blip r:embed="rId11"/>
                    <a:srcRect/>
                    <a:stretch>
                      <a:fillRect/>
                    </a:stretch>
                  </pic:blipFill>
                  <pic:spPr>
                    <a:xfrm>
                      <a:off x="0" y="0"/>
                      <a:ext cx="2057400" cy="638175"/>
                    </a:xfrm>
                    <a:prstGeom prst="rect">
                      <a:avLst/>
                    </a:prstGeom>
                    <a:ln/>
                  </pic:spPr>
                </pic:pic>
              </a:graphicData>
            </a:graphic>
          </wp:anchor>
        </w:drawing>
      </w:r>
    </w:p>
    <w:p w14:paraId="436F3579" w14:textId="77777777" w:rsidR="00AA714E" w:rsidRPr="00220394" w:rsidRDefault="00546B1F">
      <w:pPr>
        <w:rPr>
          <w:rFonts w:ascii="Helvetica" w:eastAsia="Helvetica Neue" w:hAnsi="Helvetica" w:cs="Helvetica"/>
        </w:rPr>
      </w:pPr>
      <w:r w:rsidRPr="00220394">
        <w:rPr>
          <w:rFonts w:ascii="Helvetica" w:hAnsi="Helvetica" w:cs="Helvetica"/>
          <w:noProof/>
        </w:rPr>
        <w:lastRenderedPageBreak/>
        <mc:AlternateContent>
          <mc:Choice Requires="wps">
            <w:drawing>
              <wp:anchor distT="0" distB="0" distL="114300" distR="114300" simplePos="0" relativeHeight="251658245" behindDoc="0" locked="0" layoutInCell="1" hidden="0" allowOverlap="1" wp14:anchorId="67A1DB11" wp14:editId="475DF83D">
                <wp:simplePos x="0" y="0"/>
                <wp:positionH relativeFrom="column">
                  <wp:posOffset>1816100</wp:posOffset>
                </wp:positionH>
                <wp:positionV relativeFrom="paragraph">
                  <wp:posOffset>0</wp:posOffset>
                </wp:positionV>
                <wp:extent cx="3943350" cy="742950"/>
                <wp:effectExtent l="0" t="0" r="0" b="0"/>
                <wp:wrapSquare wrapText="bothSides" distT="0" distB="0" distL="114300" distR="114300"/>
                <wp:docPr id="65" name="Rectángulo 65"/>
                <wp:cNvGraphicFramePr/>
                <a:graphic xmlns:a="http://schemas.openxmlformats.org/drawingml/2006/main">
                  <a:graphicData uri="http://schemas.microsoft.com/office/word/2010/wordprocessingShape">
                    <wps:wsp>
                      <wps:cNvSpPr/>
                      <wps:spPr>
                        <a:xfrm>
                          <a:off x="3402900" y="3437100"/>
                          <a:ext cx="3886200" cy="685800"/>
                        </a:xfrm>
                        <a:prstGeom prst="rect">
                          <a:avLst/>
                        </a:prstGeom>
                        <a:noFill/>
                        <a:ln>
                          <a:noFill/>
                        </a:ln>
                      </wps:spPr>
                      <wps:txbx>
                        <w:txbxContent>
                          <w:p w14:paraId="5985E00A" w14:textId="77777777" w:rsidR="00AA714E" w:rsidRDefault="00AA714E">
                            <w:pPr>
                              <w:jc w:val="right"/>
                              <w:textDirection w:val="btLr"/>
                            </w:pPr>
                          </w:p>
                          <w:p w14:paraId="7FF0D44B" w14:textId="77777777" w:rsidR="00AA714E" w:rsidRDefault="00546B1F">
                            <w:pPr>
                              <w:jc w:val="right"/>
                              <w:textDirection w:val="btLr"/>
                            </w:pPr>
                            <w:r>
                              <w:rPr>
                                <w:rFonts w:ascii="Arial" w:eastAsia="Arial" w:hAnsi="Arial" w:cs="Arial"/>
                                <w:color w:val="000000"/>
                              </w:rPr>
                              <w:t>UNIDAD TÉCNICA DE VINCULACIÓN CON LOS</w:t>
                            </w:r>
                          </w:p>
                          <w:p w14:paraId="550D3A54" w14:textId="77777777" w:rsidR="00AA714E" w:rsidRDefault="00546B1F">
                            <w:pPr>
                              <w:jc w:val="right"/>
                              <w:textDirection w:val="btLr"/>
                            </w:pPr>
                            <w:r>
                              <w:rPr>
                                <w:rFonts w:ascii="Arial" w:eastAsia="Arial" w:hAnsi="Arial" w:cs="Arial"/>
                                <w:color w:val="000000"/>
                              </w:rPr>
                              <w:t xml:space="preserve"> ORGANISMOS PÚBLICOS LOCALES</w:t>
                            </w:r>
                          </w:p>
                        </w:txbxContent>
                      </wps:txbx>
                      <wps:bodyPr spcFirstLastPara="1" wrap="square" lIns="91425" tIns="45700" rIns="91425" bIns="45700" anchor="t" anchorCtr="0">
                        <a:noAutofit/>
                      </wps:bodyPr>
                    </wps:wsp>
                  </a:graphicData>
                </a:graphic>
              </wp:anchor>
            </w:drawing>
          </mc:Choice>
          <mc:Fallback>
            <w:pict>
              <v:rect w14:anchorId="67A1DB11" id="Rectángulo 65" o:spid="_x0000_s1028" style="position:absolute;margin-left:143pt;margin-top:0;width:310.5pt;height:58.5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" filled="f" stroked="f">
                <v:textbox inset="2.53958mm,1.2694mm,2.53958mm,1.2694mm">
                  <w:txbxContent>
                    <w:p w14:paraId="5985E00A" w14:textId="77777777" w:rsidR="00AA714E" w:rsidRDefault="00AA714E">
                      <w:pPr>
                        <w:jc w:val="right"/>
                        <w:textDirection w:val="btLr"/>
                      </w:pPr>
                    </w:p>
                    <w:p w14:paraId="7FF0D44B" w14:textId="77777777" w:rsidR="00AA714E" w:rsidRDefault="00546B1F">
                      <w:pPr>
                        <w:jc w:val="right"/>
                        <w:textDirection w:val="btLr"/>
                      </w:pPr>
                      <w:r>
                        <w:rPr>
                          <w:rFonts w:ascii="Arial" w:eastAsia="Arial" w:hAnsi="Arial" w:cs="Arial"/>
                          <w:color w:val="000000"/>
                        </w:rPr>
                        <w:t>UNIDAD TÉCNICA DE VINCULACIÓN CON LOS</w:t>
                      </w:r>
                    </w:p>
                    <w:p w14:paraId="550D3A54" w14:textId="77777777" w:rsidR="00AA714E" w:rsidRDefault="00546B1F">
                      <w:pPr>
                        <w:jc w:val="right"/>
                        <w:textDirection w:val="btLr"/>
                      </w:pPr>
                      <w:r>
                        <w:rPr>
                          <w:rFonts w:ascii="Arial" w:eastAsia="Arial" w:hAnsi="Arial" w:cs="Arial"/>
                          <w:color w:val="000000"/>
                        </w:rPr>
                        <w:t xml:space="preserve"> ORGANISMOS PÚBLICOS LOCALES</w:t>
                      </w:r>
                    </w:p>
                  </w:txbxContent>
                </v:textbox>
                <w10:wrap type="square"/>
              </v:rect>
            </w:pict>
          </mc:Fallback>
        </mc:AlternateContent>
      </w:r>
    </w:p>
    <w:p w14:paraId="1C634A35" w14:textId="77777777" w:rsidR="00AA714E" w:rsidRPr="00220394" w:rsidRDefault="00AA714E">
      <w:pPr>
        <w:rPr>
          <w:rFonts w:ascii="Helvetica" w:eastAsia="Helvetica Neue" w:hAnsi="Helvetica" w:cs="Helvetica"/>
        </w:rPr>
      </w:pPr>
    </w:p>
    <w:p w14:paraId="28228AA1" w14:textId="77777777" w:rsidR="00AA714E" w:rsidRPr="00220394" w:rsidRDefault="00AA714E">
      <w:pPr>
        <w:rPr>
          <w:rFonts w:ascii="Helvetica" w:eastAsia="Helvetica Neue" w:hAnsi="Helvetica" w:cs="Helvetica"/>
        </w:rPr>
      </w:pPr>
    </w:p>
    <w:p w14:paraId="502CFEE1" w14:textId="77777777" w:rsidR="00AA714E" w:rsidRPr="00220394" w:rsidRDefault="00AA714E">
      <w:pPr>
        <w:rPr>
          <w:rFonts w:ascii="Helvetica" w:eastAsia="Helvetica Neue" w:hAnsi="Helvetica" w:cs="Helvetica"/>
        </w:rPr>
      </w:pPr>
    </w:p>
    <w:p w14:paraId="693AE703" w14:textId="77777777" w:rsidR="00AA714E" w:rsidRPr="00220394" w:rsidRDefault="00AA714E">
      <w:pPr>
        <w:pStyle w:val="Ttulo1"/>
        <w:keepNext w:val="0"/>
        <w:keepLines w:val="0"/>
        <w:spacing w:before="120" w:line="360" w:lineRule="auto"/>
        <w:jc w:val="both"/>
        <w:rPr>
          <w:rFonts w:ascii="Helvetica" w:eastAsia="Helvetica Neue" w:hAnsi="Helvetica" w:cs="Helvetica"/>
          <w:sz w:val="46"/>
          <w:szCs w:val="46"/>
        </w:rPr>
      </w:pPr>
    </w:p>
    <w:p w14:paraId="13BD3FCD" w14:textId="77777777" w:rsidR="00AA714E" w:rsidRPr="00220394" w:rsidRDefault="00546B1F">
      <w:pPr>
        <w:pStyle w:val="Ttulo1"/>
        <w:keepNext w:val="0"/>
        <w:keepLines w:val="0"/>
        <w:spacing w:before="120" w:line="360" w:lineRule="auto"/>
        <w:jc w:val="both"/>
        <w:rPr>
          <w:rFonts w:ascii="Helvetica" w:eastAsia="Helvetica Neue" w:hAnsi="Helvetica" w:cs="Helvetica"/>
          <w:sz w:val="46"/>
          <w:szCs w:val="46"/>
        </w:rPr>
      </w:pPr>
      <w:r w:rsidRPr="00220394">
        <w:rPr>
          <w:rFonts w:ascii="Helvetica" w:eastAsia="Helvetica Neue" w:hAnsi="Helvetica" w:cs="Helvetica"/>
          <w:sz w:val="46"/>
          <w:szCs w:val="46"/>
        </w:rPr>
        <w:t>Índice</w:t>
      </w:r>
    </w:p>
    <w:p w14:paraId="5E45498D" w14:textId="77777777" w:rsidR="00AA714E" w:rsidRPr="00220394" w:rsidRDefault="00AA714E">
      <w:pPr>
        <w:rPr>
          <w:rFonts w:ascii="Helvetica" w:eastAsia="Helvetica Neue" w:hAnsi="Helvetica" w:cs="Helvetica"/>
        </w:rPr>
      </w:pPr>
    </w:p>
    <w:p w14:paraId="23239B43" w14:textId="77777777" w:rsidR="00AA714E" w:rsidRPr="00220394" w:rsidRDefault="00AA714E">
      <w:pPr>
        <w:rPr>
          <w:rFonts w:ascii="Helvetica" w:eastAsia="Helvetica Neue" w:hAnsi="Helvetica" w:cs="Helvetica"/>
        </w:rPr>
      </w:pPr>
    </w:p>
    <w:tbl>
      <w:tblPr>
        <w:tblW w:w="84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0" w:type="dxa"/>
          <w:left w:w="100" w:type="dxa"/>
          <w:bottom w:w="100" w:type="dxa"/>
          <w:right w:w="100" w:type="dxa"/>
        </w:tblCellMar>
        <w:tblLook w:val="0400" w:firstRow="0" w:lastRow="0" w:firstColumn="0" w:lastColumn="0" w:noHBand="0" w:noVBand="1"/>
      </w:tblPr>
      <w:tblGrid>
        <w:gridCol w:w="7933"/>
        <w:gridCol w:w="561"/>
      </w:tblGrid>
      <w:tr w:rsidR="00AA714E" w:rsidRPr="00220394" w14:paraId="08E7AEB6" w14:textId="77777777">
        <w:trPr>
          <w:trHeight w:val="600"/>
        </w:trPr>
        <w:tc>
          <w:tcPr>
            <w:tcW w:w="7933" w:type="dxa"/>
            <w:tcBorders>
              <w:top w:val="single" w:sz="4" w:space="0" w:color="FFFFFF"/>
              <w:left w:val="single" w:sz="4" w:space="0" w:color="FFFFFF"/>
              <w:bottom w:val="single" w:sz="4" w:space="0" w:color="FFFFFF"/>
              <w:right w:val="single" w:sz="4" w:space="0" w:color="FFFFFF"/>
            </w:tcBorders>
            <w:vAlign w:val="bottom"/>
          </w:tcPr>
          <w:p w14:paraId="2808288A"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rPr>
            </w:pPr>
            <w:r w:rsidRPr="00220394">
              <w:rPr>
                <w:rFonts w:ascii="Helvetica" w:eastAsia="Helvetica Neue" w:hAnsi="Helvetica" w:cs="Helvetica"/>
                <w:color w:val="000000"/>
              </w:rPr>
              <w:t>Glosario</w:t>
            </w:r>
          </w:p>
          <w:p w14:paraId="5C080FBF" w14:textId="77777777" w:rsidR="00AA714E" w:rsidRPr="00220394" w:rsidRDefault="00AA714E">
            <w:pPr>
              <w:pBdr>
                <w:top w:val="nil"/>
                <w:left w:val="nil"/>
                <w:bottom w:val="nil"/>
                <w:right w:val="nil"/>
                <w:between w:val="nil"/>
              </w:pBdr>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3C50F584" w14:textId="77777777" w:rsidR="00AA714E" w:rsidRPr="00220394" w:rsidRDefault="00546B1F">
            <w:pPr>
              <w:jc w:val="center"/>
              <w:rPr>
                <w:rFonts w:ascii="Helvetica" w:eastAsia="Helvetica Neue" w:hAnsi="Helvetica" w:cs="Helvetica"/>
              </w:rPr>
            </w:pPr>
            <w:r w:rsidRPr="00220394">
              <w:rPr>
                <w:rFonts w:ascii="Helvetica" w:eastAsia="Helvetica Neue" w:hAnsi="Helvetica" w:cs="Helvetica"/>
              </w:rPr>
              <w:t>3</w:t>
            </w:r>
          </w:p>
        </w:tc>
      </w:tr>
      <w:tr w:rsidR="00AA714E" w:rsidRPr="00220394" w14:paraId="7CB5A718"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3B2622DB"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rPr>
            </w:pPr>
            <w:r w:rsidRPr="00220394">
              <w:rPr>
                <w:rFonts w:ascii="Helvetica" w:eastAsia="Helvetica Neue" w:hAnsi="Helvetica" w:cs="Helvetica"/>
                <w:color w:val="000000"/>
              </w:rPr>
              <w:t xml:space="preserve">Introducción </w:t>
            </w:r>
          </w:p>
          <w:p w14:paraId="411401E0" w14:textId="77777777" w:rsidR="00AA714E" w:rsidRPr="00220394" w:rsidRDefault="00AA714E">
            <w:pPr>
              <w:pBdr>
                <w:top w:val="nil"/>
                <w:left w:val="nil"/>
                <w:bottom w:val="nil"/>
                <w:right w:val="nil"/>
                <w:between w:val="nil"/>
              </w:pBdr>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3798D1CE" w14:textId="77777777" w:rsidR="00AA714E" w:rsidRPr="00220394" w:rsidRDefault="00546B1F">
            <w:pPr>
              <w:jc w:val="center"/>
              <w:rPr>
                <w:rFonts w:ascii="Helvetica" w:eastAsia="Helvetica Neue" w:hAnsi="Helvetica" w:cs="Helvetica"/>
              </w:rPr>
            </w:pPr>
            <w:r w:rsidRPr="00220394">
              <w:rPr>
                <w:rFonts w:ascii="Helvetica" w:eastAsia="Helvetica Neue" w:hAnsi="Helvetica" w:cs="Helvetica"/>
              </w:rPr>
              <w:t>4</w:t>
            </w:r>
          </w:p>
        </w:tc>
      </w:tr>
      <w:tr w:rsidR="00AA714E" w:rsidRPr="00220394" w14:paraId="369F91D7"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5FD84D10"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rPr>
            </w:pPr>
            <w:r w:rsidRPr="00220394">
              <w:rPr>
                <w:rFonts w:ascii="Helvetica" w:eastAsia="Helvetica Neue" w:hAnsi="Helvetica" w:cs="Helvetica"/>
                <w:color w:val="000000"/>
              </w:rPr>
              <w:t xml:space="preserve">Atribuciones de las autoridades electorales </w:t>
            </w:r>
          </w:p>
          <w:p w14:paraId="081136B5" w14:textId="77777777" w:rsidR="00AA714E" w:rsidRPr="00220394" w:rsidRDefault="00AA714E">
            <w:pPr>
              <w:pBdr>
                <w:top w:val="nil"/>
                <w:left w:val="nil"/>
                <w:bottom w:val="nil"/>
                <w:right w:val="nil"/>
                <w:between w:val="nil"/>
              </w:pBdr>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176C73B5" w14:textId="77777777" w:rsidR="00AA714E" w:rsidRPr="00220394" w:rsidRDefault="00546B1F">
            <w:pPr>
              <w:rPr>
                <w:rFonts w:ascii="Helvetica" w:eastAsia="Helvetica Neue" w:hAnsi="Helvetica" w:cs="Helvetica"/>
              </w:rPr>
            </w:pPr>
            <w:r w:rsidRPr="00220394">
              <w:rPr>
                <w:rFonts w:ascii="Helvetica" w:eastAsia="Helvetica Neue" w:hAnsi="Helvetica" w:cs="Helvetica"/>
              </w:rPr>
              <w:t xml:space="preserve"> 6</w:t>
            </w:r>
          </w:p>
        </w:tc>
      </w:tr>
      <w:tr w:rsidR="00AA714E" w:rsidRPr="00220394" w14:paraId="7630BC89"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22AAA998"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rPr>
            </w:pPr>
            <w:r w:rsidRPr="00220394">
              <w:rPr>
                <w:rFonts w:ascii="Helvetica" w:eastAsia="Helvetica Neue" w:hAnsi="Helvetica" w:cs="Helvetica"/>
              </w:rPr>
              <w:t xml:space="preserve">Municipio </w:t>
            </w:r>
            <w:r w:rsidRPr="00220394">
              <w:rPr>
                <w:rFonts w:ascii="Helvetica" w:eastAsia="Helvetica Neue" w:hAnsi="Helvetica" w:cs="Helvetica"/>
                <w:color w:val="000000"/>
              </w:rPr>
              <w:t>con Elecci</w:t>
            </w:r>
            <w:r w:rsidRPr="00220394">
              <w:rPr>
                <w:rFonts w:ascii="Helvetica" w:eastAsia="Helvetica Neue" w:hAnsi="Helvetica" w:cs="Helvetica"/>
              </w:rPr>
              <w:t>ón</w:t>
            </w:r>
            <w:r w:rsidRPr="00220394">
              <w:rPr>
                <w:rFonts w:ascii="Helvetica" w:eastAsia="Helvetica Neue" w:hAnsi="Helvetica" w:cs="Helvetica"/>
                <w:color w:val="000000"/>
              </w:rPr>
              <w:t xml:space="preserve"> Extraordinaria 2022 y fechas relevantes</w:t>
            </w:r>
          </w:p>
          <w:p w14:paraId="0838E073" w14:textId="77777777" w:rsidR="00AA714E" w:rsidRPr="00220394" w:rsidRDefault="00AA714E">
            <w:pPr>
              <w:pBdr>
                <w:top w:val="nil"/>
                <w:left w:val="nil"/>
                <w:bottom w:val="nil"/>
                <w:right w:val="nil"/>
                <w:between w:val="nil"/>
              </w:pBdr>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0907400C" w14:textId="77777777" w:rsidR="00AA714E" w:rsidRPr="00220394" w:rsidRDefault="00546B1F">
            <w:pPr>
              <w:jc w:val="center"/>
              <w:rPr>
                <w:rFonts w:ascii="Helvetica" w:eastAsia="Helvetica Neue" w:hAnsi="Helvetica" w:cs="Helvetica"/>
              </w:rPr>
            </w:pPr>
            <w:r w:rsidRPr="00220394">
              <w:rPr>
                <w:rFonts w:ascii="Helvetica" w:eastAsia="Helvetica Neue" w:hAnsi="Helvetica" w:cs="Helvetica"/>
              </w:rPr>
              <w:t>8</w:t>
            </w:r>
          </w:p>
        </w:tc>
      </w:tr>
      <w:tr w:rsidR="00AA714E" w:rsidRPr="00220394" w14:paraId="69F7D61A"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46BDCC1B"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rPr>
            </w:pPr>
            <w:r w:rsidRPr="00220394">
              <w:rPr>
                <w:rFonts w:ascii="Helvetica" w:eastAsia="Helvetica Neue" w:hAnsi="Helvetica" w:cs="Helvetica"/>
                <w:color w:val="000000"/>
              </w:rPr>
              <w:t>Estructura del Calendario de Coordinación</w:t>
            </w:r>
          </w:p>
          <w:p w14:paraId="7A4BF6DB" w14:textId="77777777" w:rsidR="00AA714E" w:rsidRPr="00220394" w:rsidRDefault="00AA714E">
            <w:pPr>
              <w:pBdr>
                <w:top w:val="nil"/>
                <w:left w:val="nil"/>
                <w:bottom w:val="nil"/>
                <w:right w:val="nil"/>
                <w:between w:val="nil"/>
              </w:pBdr>
              <w:ind w:left="1080"/>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4F4A2199" w14:textId="77777777" w:rsidR="00AA714E" w:rsidRPr="00220394" w:rsidRDefault="00546B1F">
            <w:pPr>
              <w:jc w:val="center"/>
              <w:rPr>
                <w:rFonts w:ascii="Helvetica" w:eastAsia="Helvetica Neue" w:hAnsi="Helvetica" w:cs="Helvetica"/>
              </w:rPr>
            </w:pPr>
            <w:r w:rsidRPr="00220394">
              <w:rPr>
                <w:rFonts w:ascii="Helvetica" w:eastAsia="Helvetica Neue" w:hAnsi="Helvetica" w:cs="Helvetica"/>
              </w:rPr>
              <w:t>11</w:t>
            </w:r>
          </w:p>
        </w:tc>
      </w:tr>
      <w:tr w:rsidR="00AA714E" w:rsidRPr="00220394" w14:paraId="5369A9F4" w14:textId="77777777">
        <w:tc>
          <w:tcPr>
            <w:tcW w:w="7933" w:type="dxa"/>
            <w:tcBorders>
              <w:top w:val="single" w:sz="4" w:space="0" w:color="FFFFFF"/>
              <w:left w:val="single" w:sz="4" w:space="0" w:color="FFFFFF"/>
              <w:bottom w:val="single" w:sz="4" w:space="0" w:color="FFFFFF"/>
              <w:right w:val="single" w:sz="4" w:space="0" w:color="FFFFFF"/>
            </w:tcBorders>
            <w:vAlign w:val="bottom"/>
          </w:tcPr>
          <w:p w14:paraId="63DD9662"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rPr>
            </w:pPr>
            <w:r w:rsidRPr="00220394">
              <w:rPr>
                <w:rFonts w:ascii="Helvetica" w:eastAsia="Helvetica Neue" w:hAnsi="Helvetica" w:cs="Helvetica"/>
                <w:color w:val="000000"/>
              </w:rPr>
              <w:t>Seguimiento a los calendarios</w:t>
            </w:r>
          </w:p>
          <w:p w14:paraId="46DF1FDE" w14:textId="77777777" w:rsidR="00AA714E" w:rsidRPr="00220394" w:rsidRDefault="00AA714E">
            <w:pPr>
              <w:pBdr>
                <w:top w:val="nil"/>
                <w:left w:val="nil"/>
                <w:bottom w:val="nil"/>
                <w:right w:val="nil"/>
                <w:between w:val="nil"/>
              </w:pBdr>
              <w:ind w:left="1080"/>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78D6618F" w14:textId="77777777" w:rsidR="00AA714E" w:rsidRPr="00220394" w:rsidRDefault="00546B1F">
            <w:pPr>
              <w:jc w:val="center"/>
              <w:rPr>
                <w:rFonts w:ascii="Helvetica" w:eastAsia="Helvetica Neue" w:hAnsi="Helvetica" w:cs="Helvetica"/>
              </w:rPr>
            </w:pPr>
            <w:r w:rsidRPr="00220394">
              <w:rPr>
                <w:rFonts w:ascii="Helvetica" w:eastAsia="Helvetica Neue" w:hAnsi="Helvetica" w:cs="Helvetica"/>
              </w:rPr>
              <w:t>14</w:t>
            </w:r>
          </w:p>
        </w:tc>
      </w:tr>
      <w:tr w:rsidR="00AA714E" w:rsidRPr="00220394" w14:paraId="771494D5" w14:textId="77777777">
        <w:trPr>
          <w:trHeight w:val="472"/>
        </w:trPr>
        <w:tc>
          <w:tcPr>
            <w:tcW w:w="7933" w:type="dxa"/>
            <w:tcBorders>
              <w:top w:val="single" w:sz="4" w:space="0" w:color="FFFFFF"/>
              <w:left w:val="single" w:sz="4" w:space="0" w:color="FFFFFF"/>
              <w:bottom w:val="single" w:sz="4" w:space="0" w:color="FFFFFF"/>
              <w:right w:val="single" w:sz="4" w:space="0" w:color="FFFFFF"/>
            </w:tcBorders>
            <w:vAlign w:val="bottom"/>
          </w:tcPr>
          <w:p w14:paraId="17A9CAFD" w14:textId="77777777" w:rsidR="00AA714E" w:rsidRPr="00220394" w:rsidRDefault="00546B1F">
            <w:pPr>
              <w:numPr>
                <w:ilvl w:val="0"/>
                <w:numId w:val="1"/>
              </w:numPr>
              <w:pBdr>
                <w:top w:val="nil"/>
                <w:left w:val="nil"/>
                <w:bottom w:val="nil"/>
                <w:right w:val="nil"/>
                <w:between w:val="nil"/>
              </w:pBdr>
              <w:rPr>
                <w:rFonts w:ascii="Helvetica" w:eastAsia="Helvetica Neue" w:hAnsi="Helvetica" w:cs="Helvetica"/>
                <w:color w:val="000000"/>
              </w:rPr>
            </w:pPr>
            <w:r w:rsidRPr="00220394">
              <w:rPr>
                <w:rFonts w:ascii="Helvetica" w:eastAsia="Helvetica Neue" w:hAnsi="Helvetica" w:cs="Helvetica"/>
                <w:color w:val="000000"/>
              </w:rPr>
              <w:t xml:space="preserve">Colaboración de áreas ejecutivas, unidades técnicas y OPL </w:t>
            </w:r>
          </w:p>
          <w:p w14:paraId="67DCFB1D" w14:textId="77777777" w:rsidR="00AA714E" w:rsidRPr="00220394" w:rsidRDefault="00AA714E">
            <w:pPr>
              <w:pBdr>
                <w:top w:val="nil"/>
                <w:left w:val="nil"/>
                <w:bottom w:val="nil"/>
                <w:right w:val="nil"/>
                <w:between w:val="nil"/>
              </w:pBdr>
              <w:ind w:left="1080"/>
              <w:rPr>
                <w:rFonts w:ascii="Helvetica" w:eastAsia="Helvetica Neue" w:hAnsi="Helvetica" w:cs="Helvetica"/>
              </w:rPr>
            </w:pPr>
          </w:p>
        </w:tc>
        <w:tc>
          <w:tcPr>
            <w:tcW w:w="561" w:type="dxa"/>
            <w:tcBorders>
              <w:top w:val="single" w:sz="4" w:space="0" w:color="FFFFFF"/>
              <w:left w:val="single" w:sz="4" w:space="0" w:color="FFFFFF"/>
              <w:bottom w:val="single" w:sz="4" w:space="0" w:color="FFFFFF"/>
              <w:right w:val="single" w:sz="4" w:space="0" w:color="FFFFFF"/>
            </w:tcBorders>
          </w:tcPr>
          <w:p w14:paraId="239A7203" w14:textId="77777777" w:rsidR="00AA714E" w:rsidRPr="00220394" w:rsidRDefault="00546B1F">
            <w:pPr>
              <w:jc w:val="center"/>
              <w:rPr>
                <w:rFonts w:ascii="Helvetica" w:eastAsia="Helvetica Neue" w:hAnsi="Helvetica" w:cs="Helvetica"/>
              </w:rPr>
            </w:pPr>
            <w:r w:rsidRPr="00220394">
              <w:rPr>
                <w:rFonts w:ascii="Helvetica" w:eastAsia="Helvetica Neue" w:hAnsi="Helvetica" w:cs="Helvetica"/>
              </w:rPr>
              <w:t>15</w:t>
            </w:r>
          </w:p>
        </w:tc>
      </w:tr>
      <w:tr w:rsidR="00AA714E" w:rsidRPr="00220394" w14:paraId="7901E9DE" w14:textId="77777777">
        <w:trPr>
          <w:trHeight w:val="978"/>
        </w:trPr>
        <w:tc>
          <w:tcPr>
            <w:tcW w:w="7933" w:type="dxa"/>
            <w:tcBorders>
              <w:top w:val="single" w:sz="4" w:space="0" w:color="FFFFFF"/>
              <w:left w:val="single" w:sz="4" w:space="0" w:color="FFFFFF"/>
              <w:bottom w:val="single" w:sz="4" w:space="0" w:color="FFFFFF"/>
              <w:right w:val="single" w:sz="4" w:space="0" w:color="FFFFFF"/>
            </w:tcBorders>
            <w:vAlign w:val="bottom"/>
          </w:tcPr>
          <w:p w14:paraId="6B9EB4F9" w14:textId="77777777" w:rsidR="00AA714E" w:rsidRPr="00220394" w:rsidRDefault="00546B1F">
            <w:pPr>
              <w:numPr>
                <w:ilvl w:val="0"/>
                <w:numId w:val="1"/>
              </w:numPr>
              <w:pBdr>
                <w:top w:val="nil"/>
                <w:left w:val="nil"/>
                <w:bottom w:val="nil"/>
                <w:right w:val="nil"/>
                <w:between w:val="nil"/>
              </w:pBdr>
              <w:spacing w:before="240" w:after="240"/>
              <w:rPr>
                <w:rFonts w:ascii="Helvetica" w:eastAsia="Helvetica Neue" w:hAnsi="Helvetica" w:cs="Helvetica"/>
                <w:color w:val="000000"/>
              </w:rPr>
            </w:pPr>
            <w:r w:rsidRPr="00220394">
              <w:rPr>
                <w:rFonts w:ascii="Helvetica" w:eastAsia="Helvetica Neue" w:hAnsi="Helvetica" w:cs="Helvetica"/>
                <w:color w:val="000000"/>
              </w:rPr>
              <w:t xml:space="preserve">Calendario de Coordinación </w:t>
            </w:r>
          </w:p>
          <w:p w14:paraId="4291AF90" w14:textId="77777777" w:rsidR="00AA714E" w:rsidRPr="00220394" w:rsidRDefault="00AA714E">
            <w:pPr>
              <w:pBdr>
                <w:top w:val="nil"/>
                <w:left w:val="nil"/>
                <w:bottom w:val="nil"/>
                <w:right w:val="nil"/>
                <w:between w:val="nil"/>
              </w:pBdr>
              <w:spacing w:before="240" w:after="240"/>
              <w:ind w:left="360"/>
              <w:rPr>
                <w:rFonts w:ascii="Helvetica" w:eastAsia="Helvetica Neue" w:hAnsi="Helvetica" w:cs="Helvetica"/>
                <w:color w:val="000000"/>
              </w:rPr>
            </w:pPr>
          </w:p>
        </w:tc>
        <w:tc>
          <w:tcPr>
            <w:tcW w:w="561" w:type="dxa"/>
            <w:tcBorders>
              <w:top w:val="single" w:sz="4" w:space="0" w:color="FFFFFF"/>
              <w:left w:val="single" w:sz="4" w:space="0" w:color="FFFFFF"/>
              <w:bottom w:val="single" w:sz="4" w:space="0" w:color="FFFFFF"/>
              <w:right w:val="single" w:sz="4" w:space="0" w:color="FFFFFF"/>
            </w:tcBorders>
          </w:tcPr>
          <w:p w14:paraId="6A0911EF" w14:textId="77777777" w:rsidR="00AA714E" w:rsidRPr="00220394" w:rsidRDefault="00546B1F">
            <w:pPr>
              <w:rPr>
                <w:rFonts w:ascii="Helvetica" w:eastAsia="Helvetica Neue" w:hAnsi="Helvetica" w:cs="Helvetica"/>
              </w:rPr>
            </w:pPr>
            <w:r w:rsidRPr="00220394">
              <w:rPr>
                <w:rFonts w:ascii="Helvetica" w:eastAsia="Helvetica Neue" w:hAnsi="Helvetica" w:cs="Helvetica"/>
              </w:rPr>
              <w:t xml:space="preserve"> 18</w:t>
            </w:r>
          </w:p>
        </w:tc>
      </w:tr>
    </w:tbl>
    <w:p w14:paraId="5975E701" w14:textId="77777777" w:rsidR="00AA714E" w:rsidRPr="00220394" w:rsidRDefault="00AA714E">
      <w:pPr>
        <w:rPr>
          <w:rFonts w:ascii="Helvetica" w:eastAsia="Helvetica Neue" w:hAnsi="Helvetica" w:cs="Helvetica"/>
        </w:rPr>
      </w:pPr>
    </w:p>
    <w:p w14:paraId="1B2BE6DC" w14:textId="77777777" w:rsidR="00AA714E" w:rsidRPr="00220394" w:rsidRDefault="00AA714E">
      <w:pPr>
        <w:spacing w:before="240" w:after="240"/>
        <w:jc w:val="both"/>
        <w:rPr>
          <w:rFonts w:ascii="Helvetica" w:eastAsia="Helvetica Neue" w:hAnsi="Helvetica" w:cs="Helvetica"/>
        </w:rPr>
      </w:pPr>
    </w:p>
    <w:p w14:paraId="7E44430F" w14:textId="77777777" w:rsidR="00AA714E" w:rsidRPr="00220394" w:rsidRDefault="00546B1F">
      <w:pPr>
        <w:rPr>
          <w:rFonts w:ascii="Helvetica" w:eastAsia="Helvetica Neue" w:hAnsi="Helvetica" w:cs="Helvetica"/>
        </w:rPr>
      </w:pPr>
      <w:r w:rsidRPr="00220394">
        <w:rPr>
          <w:rFonts w:ascii="Helvetica" w:hAnsi="Helvetica" w:cs="Helvetica"/>
        </w:rPr>
        <w:br w:type="page"/>
      </w:r>
    </w:p>
    <w:p w14:paraId="1BCD9F0C" w14:textId="77777777" w:rsidR="00AA714E" w:rsidRPr="00220394" w:rsidRDefault="00546B1F">
      <w:pPr>
        <w:pStyle w:val="Ttulo1"/>
        <w:keepNext w:val="0"/>
        <w:keepLines w:val="0"/>
        <w:numPr>
          <w:ilvl w:val="0"/>
          <w:numId w:val="2"/>
        </w:numPr>
        <w:spacing w:after="160" w:line="360" w:lineRule="auto"/>
        <w:ind w:left="1080" w:hanging="720"/>
        <w:jc w:val="both"/>
        <w:rPr>
          <w:rFonts w:ascii="Helvetica" w:eastAsia="Helvetica Neue" w:hAnsi="Helvetica" w:cs="Helvetica"/>
          <w:sz w:val="46"/>
          <w:szCs w:val="46"/>
        </w:rPr>
      </w:pPr>
      <w:r w:rsidRPr="00220394">
        <w:rPr>
          <w:rFonts w:ascii="Helvetica" w:eastAsia="Helvetica Neue" w:hAnsi="Helvetica" w:cs="Helvetica"/>
          <w:sz w:val="46"/>
          <w:szCs w:val="46"/>
        </w:rPr>
        <w:lastRenderedPageBreak/>
        <w:t>Glosario</w:t>
      </w:r>
    </w:p>
    <w:p w14:paraId="3A5B47EE" w14:textId="77777777" w:rsidR="00AA714E" w:rsidRPr="00220394" w:rsidRDefault="00AA714E">
      <w:pPr>
        <w:rPr>
          <w:rFonts w:ascii="Helvetica" w:eastAsia="Helvetica Neue" w:hAnsi="Helvetica" w:cs="Helvetica"/>
        </w:rPr>
      </w:pPr>
    </w:p>
    <w:tbl>
      <w:tblPr>
        <w:tblW w:w="9988" w:type="dxa"/>
        <w:tblInd w:w="-485" w:type="dxa"/>
        <w:tblLayout w:type="fixed"/>
        <w:tblCellMar>
          <w:top w:w="100" w:type="dxa"/>
          <w:left w:w="100" w:type="dxa"/>
          <w:bottom w:w="100" w:type="dxa"/>
          <w:right w:w="100" w:type="dxa"/>
        </w:tblCellMar>
        <w:tblLook w:val="0600" w:firstRow="0" w:lastRow="0" w:firstColumn="0" w:lastColumn="0" w:noHBand="1" w:noVBand="1"/>
      </w:tblPr>
      <w:tblGrid>
        <w:gridCol w:w="2379"/>
        <w:gridCol w:w="7609"/>
      </w:tblGrid>
      <w:tr w:rsidR="00AA714E" w:rsidRPr="00220394" w14:paraId="44D40791" w14:textId="77777777">
        <w:trPr>
          <w:trHeight w:val="220"/>
        </w:trPr>
        <w:tc>
          <w:tcPr>
            <w:tcW w:w="2379" w:type="dxa"/>
            <w:tcMar>
              <w:top w:w="100" w:type="dxa"/>
              <w:left w:w="100" w:type="dxa"/>
              <w:bottom w:w="100" w:type="dxa"/>
              <w:right w:w="100" w:type="dxa"/>
            </w:tcMar>
          </w:tcPr>
          <w:p w14:paraId="5AE3549E"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CG</w:t>
            </w:r>
          </w:p>
        </w:tc>
        <w:tc>
          <w:tcPr>
            <w:tcW w:w="7609" w:type="dxa"/>
            <w:tcMar>
              <w:top w:w="100" w:type="dxa"/>
              <w:left w:w="100" w:type="dxa"/>
              <w:bottom w:w="100" w:type="dxa"/>
              <w:right w:w="100" w:type="dxa"/>
            </w:tcMar>
          </w:tcPr>
          <w:p w14:paraId="5E322576"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Consejo General</w:t>
            </w:r>
          </w:p>
        </w:tc>
      </w:tr>
      <w:tr w:rsidR="00AA714E" w:rsidRPr="00220394" w14:paraId="77BB79A5" w14:textId="77777777">
        <w:trPr>
          <w:trHeight w:val="220"/>
        </w:trPr>
        <w:tc>
          <w:tcPr>
            <w:tcW w:w="2379" w:type="dxa"/>
            <w:tcMar>
              <w:top w:w="100" w:type="dxa"/>
              <w:left w:w="100" w:type="dxa"/>
              <w:bottom w:w="100" w:type="dxa"/>
              <w:right w:w="100" w:type="dxa"/>
            </w:tcMar>
          </w:tcPr>
          <w:p w14:paraId="15332E81"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Comisión</w:t>
            </w:r>
          </w:p>
        </w:tc>
        <w:tc>
          <w:tcPr>
            <w:tcW w:w="7609" w:type="dxa"/>
            <w:tcMar>
              <w:top w:w="100" w:type="dxa"/>
              <w:left w:w="100" w:type="dxa"/>
              <w:bottom w:w="100" w:type="dxa"/>
              <w:right w:w="100" w:type="dxa"/>
            </w:tcMar>
          </w:tcPr>
          <w:p w14:paraId="678BC2C2"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Comisión de Vinculación con los Organismos Públicos Locales</w:t>
            </w:r>
          </w:p>
        </w:tc>
      </w:tr>
      <w:tr w:rsidR="00AA714E" w:rsidRPr="00220394" w14:paraId="08715793" w14:textId="77777777">
        <w:trPr>
          <w:trHeight w:val="395"/>
        </w:trPr>
        <w:tc>
          <w:tcPr>
            <w:tcW w:w="2379" w:type="dxa"/>
            <w:tcMar>
              <w:top w:w="100" w:type="dxa"/>
              <w:left w:w="100" w:type="dxa"/>
              <w:bottom w:w="100" w:type="dxa"/>
              <w:right w:w="100" w:type="dxa"/>
            </w:tcMar>
          </w:tcPr>
          <w:p w14:paraId="6E36A1BB"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CPEUM</w:t>
            </w:r>
          </w:p>
        </w:tc>
        <w:tc>
          <w:tcPr>
            <w:tcW w:w="7609" w:type="dxa"/>
            <w:tcMar>
              <w:top w:w="100" w:type="dxa"/>
              <w:left w:w="100" w:type="dxa"/>
              <w:bottom w:w="100" w:type="dxa"/>
              <w:right w:w="100" w:type="dxa"/>
            </w:tcMar>
          </w:tcPr>
          <w:p w14:paraId="40E76743"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Constitución Política de los Estados Unidos Mexicanos</w:t>
            </w:r>
          </w:p>
        </w:tc>
      </w:tr>
      <w:tr w:rsidR="00AA714E" w:rsidRPr="00220394" w14:paraId="628CCE48" w14:textId="77777777">
        <w:trPr>
          <w:trHeight w:val="465"/>
        </w:trPr>
        <w:tc>
          <w:tcPr>
            <w:tcW w:w="2379" w:type="dxa"/>
            <w:tcMar>
              <w:top w:w="100" w:type="dxa"/>
              <w:left w:w="100" w:type="dxa"/>
              <w:bottom w:w="100" w:type="dxa"/>
              <w:right w:w="100" w:type="dxa"/>
            </w:tcMar>
          </w:tcPr>
          <w:p w14:paraId="7F395AE5"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INE</w:t>
            </w:r>
          </w:p>
        </w:tc>
        <w:tc>
          <w:tcPr>
            <w:tcW w:w="7609" w:type="dxa"/>
            <w:tcMar>
              <w:top w:w="100" w:type="dxa"/>
              <w:left w:w="100" w:type="dxa"/>
              <w:bottom w:w="100" w:type="dxa"/>
              <w:right w:w="100" w:type="dxa"/>
            </w:tcMar>
          </w:tcPr>
          <w:p w14:paraId="566101BF"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Instituto Nacional Electoral</w:t>
            </w:r>
          </w:p>
        </w:tc>
      </w:tr>
      <w:tr w:rsidR="00AA714E" w:rsidRPr="00220394" w14:paraId="367F853E" w14:textId="77777777">
        <w:trPr>
          <w:trHeight w:val="465"/>
        </w:trPr>
        <w:tc>
          <w:tcPr>
            <w:tcW w:w="2379" w:type="dxa"/>
            <w:tcMar>
              <w:top w:w="100" w:type="dxa"/>
              <w:left w:w="100" w:type="dxa"/>
              <w:bottom w:w="100" w:type="dxa"/>
              <w:right w:w="100" w:type="dxa"/>
            </w:tcMar>
          </w:tcPr>
          <w:p w14:paraId="4ED28E73"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JLE</w:t>
            </w:r>
          </w:p>
        </w:tc>
        <w:tc>
          <w:tcPr>
            <w:tcW w:w="7609" w:type="dxa"/>
            <w:tcMar>
              <w:top w:w="100" w:type="dxa"/>
              <w:left w:w="100" w:type="dxa"/>
              <w:bottom w:w="100" w:type="dxa"/>
              <w:right w:w="100" w:type="dxa"/>
            </w:tcMar>
          </w:tcPr>
          <w:p w14:paraId="7EAFBA00"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Junta Local Ejecutiva</w:t>
            </w:r>
          </w:p>
        </w:tc>
      </w:tr>
      <w:tr w:rsidR="00AA714E" w:rsidRPr="00220394" w14:paraId="23BA5752" w14:textId="77777777">
        <w:trPr>
          <w:trHeight w:val="395"/>
        </w:trPr>
        <w:tc>
          <w:tcPr>
            <w:tcW w:w="2379" w:type="dxa"/>
            <w:tcMar>
              <w:top w:w="100" w:type="dxa"/>
              <w:left w:w="100" w:type="dxa"/>
              <w:bottom w:w="100" w:type="dxa"/>
              <w:right w:w="100" w:type="dxa"/>
            </w:tcMar>
          </w:tcPr>
          <w:p w14:paraId="55275D16"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LGIPE</w:t>
            </w:r>
          </w:p>
        </w:tc>
        <w:tc>
          <w:tcPr>
            <w:tcW w:w="7609" w:type="dxa"/>
            <w:tcMar>
              <w:top w:w="100" w:type="dxa"/>
              <w:left w:w="100" w:type="dxa"/>
              <w:bottom w:w="100" w:type="dxa"/>
              <w:right w:w="100" w:type="dxa"/>
            </w:tcMar>
          </w:tcPr>
          <w:p w14:paraId="622AEC5B"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Ley General de Instituciones y Procedimientos Electorales</w:t>
            </w:r>
          </w:p>
        </w:tc>
      </w:tr>
      <w:tr w:rsidR="00AA714E" w:rsidRPr="00220394" w14:paraId="6DDD3A6A" w14:textId="77777777">
        <w:trPr>
          <w:trHeight w:val="220"/>
        </w:trPr>
        <w:tc>
          <w:tcPr>
            <w:tcW w:w="2379" w:type="dxa"/>
            <w:tcMar>
              <w:top w:w="100" w:type="dxa"/>
              <w:left w:w="100" w:type="dxa"/>
              <w:bottom w:w="100" w:type="dxa"/>
              <w:right w:w="100" w:type="dxa"/>
            </w:tcMar>
          </w:tcPr>
          <w:p w14:paraId="3EB4ACB8"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OPL</w:t>
            </w:r>
          </w:p>
        </w:tc>
        <w:tc>
          <w:tcPr>
            <w:tcW w:w="7609" w:type="dxa"/>
            <w:tcMar>
              <w:top w:w="100" w:type="dxa"/>
              <w:left w:w="100" w:type="dxa"/>
              <w:bottom w:w="100" w:type="dxa"/>
              <w:right w:w="100" w:type="dxa"/>
            </w:tcMar>
          </w:tcPr>
          <w:p w14:paraId="3452F712"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Organismos Públicos Locales</w:t>
            </w:r>
          </w:p>
        </w:tc>
      </w:tr>
      <w:tr w:rsidR="00AA714E" w:rsidRPr="00220394" w14:paraId="702583C1" w14:textId="77777777">
        <w:trPr>
          <w:trHeight w:val="395"/>
        </w:trPr>
        <w:tc>
          <w:tcPr>
            <w:tcW w:w="2379" w:type="dxa"/>
            <w:tcMar>
              <w:top w:w="100" w:type="dxa"/>
              <w:left w:w="100" w:type="dxa"/>
              <w:bottom w:w="100" w:type="dxa"/>
              <w:right w:w="100" w:type="dxa"/>
            </w:tcMar>
          </w:tcPr>
          <w:p w14:paraId="5B16DC48"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PREP</w:t>
            </w:r>
          </w:p>
          <w:p w14:paraId="170DA607" w14:textId="77777777" w:rsidR="00AA714E" w:rsidRPr="00220394" w:rsidRDefault="00AA714E">
            <w:pPr>
              <w:keepLines/>
              <w:jc w:val="both"/>
              <w:rPr>
                <w:rFonts w:ascii="Helvetica" w:eastAsia="Helvetica Neue" w:hAnsi="Helvetica" w:cs="Helvetica"/>
              </w:rPr>
            </w:pPr>
          </w:p>
          <w:p w14:paraId="01A7154A"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PMDC</w:t>
            </w:r>
          </w:p>
        </w:tc>
        <w:tc>
          <w:tcPr>
            <w:tcW w:w="7609" w:type="dxa"/>
            <w:tcMar>
              <w:top w:w="100" w:type="dxa"/>
              <w:left w:w="100" w:type="dxa"/>
              <w:bottom w:w="100" w:type="dxa"/>
              <w:right w:w="100" w:type="dxa"/>
            </w:tcMar>
          </w:tcPr>
          <w:p w14:paraId="01E87AF3"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Programa de Resultados Electorales Preliminares</w:t>
            </w:r>
          </w:p>
          <w:p w14:paraId="4EC15F32" w14:textId="77777777" w:rsidR="00AA714E" w:rsidRPr="00220394" w:rsidRDefault="00AA714E">
            <w:pPr>
              <w:keepLines/>
              <w:jc w:val="both"/>
              <w:rPr>
                <w:rFonts w:ascii="Helvetica" w:eastAsia="Helvetica Neue" w:hAnsi="Helvetica" w:cs="Helvetica"/>
              </w:rPr>
            </w:pPr>
          </w:p>
          <w:p w14:paraId="6B6DD8DD"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Presidencias de Mesas Directivas de Casilla</w:t>
            </w:r>
          </w:p>
        </w:tc>
      </w:tr>
      <w:tr w:rsidR="00AA714E" w:rsidRPr="00220394" w14:paraId="7F44CB1C" w14:textId="77777777">
        <w:trPr>
          <w:trHeight w:val="395"/>
        </w:trPr>
        <w:tc>
          <w:tcPr>
            <w:tcW w:w="2379" w:type="dxa"/>
            <w:tcMar>
              <w:top w:w="100" w:type="dxa"/>
              <w:left w:w="100" w:type="dxa"/>
              <w:bottom w:w="100" w:type="dxa"/>
              <w:right w:w="100" w:type="dxa"/>
            </w:tcMar>
          </w:tcPr>
          <w:p w14:paraId="6A3C6B7C"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Reglamento</w:t>
            </w:r>
          </w:p>
        </w:tc>
        <w:tc>
          <w:tcPr>
            <w:tcW w:w="7609" w:type="dxa"/>
            <w:tcMar>
              <w:top w:w="100" w:type="dxa"/>
              <w:left w:w="100" w:type="dxa"/>
              <w:bottom w:w="100" w:type="dxa"/>
              <w:right w:w="100" w:type="dxa"/>
            </w:tcMar>
          </w:tcPr>
          <w:p w14:paraId="2AF4754D"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Reglamento de Elecciones</w:t>
            </w:r>
          </w:p>
        </w:tc>
      </w:tr>
      <w:tr w:rsidR="00AA714E" w:rsidRPr="00220394" w14:paraId="117B9DFD" w14:textId="77777777">
        <w:trPr>
          <w:trHeight w:val="220"/>
        </w:trPr>
        <w:tc>
          <w:tcPr>
            <w:tcW w:w="2379" w:type="dxa"/>
            <w:tcMar>
              <w:top w:w="100" w:type="dxa"/>
              <w:left w:w="100" w:type="dxa"/>
              <w:bottom w:w="100" w:type="dxa"/>
              <w:right w:w="100" w:type="dxa"/>
            </w:tcMar>
          </w:tcPr>
          <w:p w14:paraId="0D30DD99"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SE</w:t>
            </w:r>
          </w:p>
        </w:tc>
        <w:tc>
          <w:tcPr>
            <w:tcW w:w="7609" w:type="dxa"/>
            <w:tcMar>
              <w:top w:w="100" w:type="dxa"/>
              <w:left w:w="100" w:type="dxa"/>
              <w:bottom w:w="100" w:type="dxa"/>
              <w:right w:w="100" w:type="dxa"/>
            </w:tcMar>
          </w:tcPr>
          <w:p w14:paraId="26B1E3C4"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Secretaría Ejecutiva</w:t>
            </w:r>
          </w:p>
        </w:tc>
      </w:tr>
      <w:tr w:rsidR="00AA714E" w:rsidRPr="00220394" w14:paraId="5159C2F3" w14:textId="77777777">
        <w:trPr>
          <w:trHeight w:val="52"/>
        </w:trPr>
        <w:tc>
          <w:tcPr>
            <w:tcW w:w="2379" w:type="dxa"/>
            <w:tcMar>
              <w:top w:w="100" w:type="dxa"/>
              <w:left w:w="100" w:type="dxa"/>
              <w:bottom w:w="100" w:type="dxa"/>
              <w:right w:w="100" w:type="dxa"/>
            </w:tcMar>
          </w:tcPr>
          <w:p w14:paraId="4E68A6D6"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TEPJF</w:t>
            </w:r>
          </w:p>
        </w:tc>
        <w:tc>
          <w:tcPr>
            <w:tcW w:w="7609" w:type="dxa"/>
            <w:tcMar>
              <w:top w:w="100" w:type="dxa"/>
              <w:left w:w="100" w:type="dxa"/>
              <w:bottom w:w="100" w:type="dxa"/>
              <w:right w:w="100" w:type="dxa"/>
            </w:tcMar>
          </w:tcPr>
          <w:p w14:paraId="1FD534DD"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Tribunal Electoral del Poder Judicial de la Federación</w:t>
            </w:r>
          </w:p>
        </w:tc>
      </w:tr>
      <w:tr w:rsidR="00AA714E" w:rsidRPr="00220394" w14:paraId="3B1E442C" w14:textId="77777777">
        <w:trPr>
          <w:trHeight w:val="220"/>
        </w:trPr>
        <w:tc>
          <w:tcPr>
            <w:tcW w:w="2379" w:type="dxa"/>
            <w:tcMar>
              <w:top w:w="100" w:type="dxa"/>
              <w:left w:w="100" w:type="dxa"/>
              <w:bottom w:w="100" w:type="dxa"/>
              <w:right w:w="100" w:type="dxa"/>
            </w:tcMar>
          </w:tcPr>
          <w:p w14:paraId="7B98B4BF"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UR</w:t>
            </w:r>
          </w:p>
        </w:tc>
        <w:tc>
          <w:tcPr>
            <w:tcW w:w="7609" w:type="dxa"/>
            <w:tcMar>
              <w:top w:w="100" w:type="dxa"/>
              <w:left w:w="100" w:type="dxa"/>
              <w:bottom w:w="100" w:type="dxa"/>
              <w:right w:w="100" w:type="dxa"/>
            </w:tcMar>
          </w:tcPr>
          <w:p w14:paraId="2C5B06BD"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Unidad Responsable</w:t>
            </w:r>
          </w:p>
        </w:tc>
      </w:tr>
      <w:tr w:rsidR="00AA714E" w:rsidRPr="00220394" w14:paraId="7523A3AC" w14:textId="77777777">
        <w:trPr>
          <w:trHeight w:val="220"/>
        </w:trPr>
        <w:tc>
          <w:tcPr>
            <w:tcW w:w="2379" w:type="dxa"/>
            <w:tcMar>
              <w:top w:w="100" w:type="dxa"/>
              <w:left w:w="100" w:type="dxa"/>
              <w:bottom w:w="100" w:type="dxa"/>
              <w:right w:w="100" w:type="dxa"/>
            </w:tcMar>
          </w:tcPr>
          <w:p w14:paraId="132A18B7"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UTVOPL</w:t>
            </w:r>
          </w:p>
        </w:tc>
        <w:tc>
          <w:tcPr>
            <w:tcW w:w="7609" w:type="dxa"/>
            <w:tcMar>
              <w:top w:w="100" w:type="dxa"/>
              <w:left w:w="100" w:type="dxa"/>
              <w:bottom w:w="100" w:type="dxa"/>
              <w:right w:w="100" w:type="dxa"/>
            </w:tcMar>
          </w:tcPr>
          <w:p w14:paraId="5102D7F5" w14:textId="77777777" w:rsidR="00AA714E" w:rsidRPr="00220394" w:rsidRDefault="00546B1F">
            <w:pPr>
              <w:keepLines/>
              <w:jc w:val="both"/>
              <w:rPr>
                <w:rFonts w:ascii="Helvetica" w:eastAsia="Helvetica Neue" w:hAnsi="Helvetica" w:cs="Helvetica"/>
              </w:rPr>
            </w:pPr>
            <w:r w:rsidRPr="00220394">
              <w:rPr>
                <w:rFonts w:ascii="Helvetica" w:eastAsia="Helvetica Neue" w:hAnsi="Helvetica" w:cs="Helvetica"/>
              </w:rPr>
              <w:t>Unidad Técnica de Vinculación con los Organismos Públicos Locales</w:t>
            </w:r>
          </w:p>
        </w:tc>
      </w:tr>
    </w:tbl>
    <w:p w14:paraId="734AFD3C" w14:textId="77777777" w:rsidR="00AA714E" w:rsidRPr="00220394" w:rsidRDefault="00AA714E">
      <w:pPr>
        <w:spacing w:before="240" w:after="240" w:line="360" w:lineRule="auto"/>
        <w:jc w:val="both"/>
        <w:rPr>
          <w:rFonts w:ascii="Helvetica" w:eastAsia="Helvetica Neue" w:hAnsi="Helvetica" w:cs="Helvetica"/>
        </w:rPr>
      </w:pPr>
    </w:p>
    <w:p w14:paraId="1EE1DB76" w14:textId="77777777" w:rsidR="00AA714E" w:rsidRPr="00220394" w:rsidRDefault="00546B1F">
      <w:pPr>
        <w:numPr>
          <w:ilvl w:val="0"/>
          <w:numId w:val="2"/>
        </w:numPr>
        <w:pBdr>
          <w:top w:val="nil"/>
          <w:left w:val="nil"/>
          <w:bottom w:val="nil"/>
          <w:right w:val="nil"/>
          <w:between w:val="nil"/>
        </w:pBdr>
        <w:rPr>
          <w:rFonts w:ascii="Helvetica" w:eastAsia="Helvetica Neue" w:hAnsi="Helvetica" w:cs="Helvetica"/>
          <w:b/>
          <w:color w:val="000000"/>
          <w:sz w:val="46"/>
          <w:szCs w:val="46"/>
        </w:rPr>
      </w:pPr>
      <w:r w:rsidRPr="00220394">
        <w:rPr>
          <w:rFonts w:ascii="Helvetica" w:hAnsi="Helvetica" w:cs="Helvetica"/>
        </w:rPr>
        <w:br w:type="page"/>
      </w:r>
      <w:r w:rsidRPr="00220394">
        <w:rPr>
          <w:rFonts w:ascii="Helvetica" w:eastAsia="Helvetica Neue" w:hAnsi="Helvetica" w:cs="Helvetica"/>
          <w:b/>
          <w:color w:val="000000"/>
          <w:sz w:val="46"/>
          <w:szCs w:val="46"/>
        </w:rPr>
        <w:lastRenderedPageBreak/>
        <w:t>Introducción</w:t>
      </w:r>
    </w:p>
    <w:p w14:paraId="59AD10A9" w14:textId="77777777" w:rsidR="00AA714E" w:rsidRPr="00220394" w:rsidRDefault="00AA714E">
      <w:pPr>
        <w:rPr>
          <w:rFonts w:ascii="Helvetica" w:eastAsia="Helvetica Neue" w:hAnsi="Helvetica" w:cs="Helvetica"/>
          <w:b/>
          <w:sz w:val="46"/>
          <w:szCs w:val="46"/>
        </w:rPr>
      </w:pPr>
    </w:p>
    <w:p w14:paraId="5F651895" w14:textId="77777777" w:rsidR="00AA714E" w:rsidRPr="00220394" w:rsidRDefault="00546B1F" w:rsidP="00220394">
      <w:pPr>
        <w:spacing w:before="200" w:line="360" w:lineRule="auto"/>
        <w:ind w:firstLine="720"/>
        <w:jc w:val="both"/>
        <w:rPr>
          <w:rFonts w:ascii="Helvetica" w:eastAsia="Arial" w:hAnsi="Helvetica" w:cs="Helvetica"/>
        </w:rPr>
      </w:pPr>
      <w:r w:rsidRPr="00220394">
        <w:rPr>
          <w:rFonts w:ascii="Helvetica" w:eastAsia="Arial" w:hAnsi="Helvetica" w:cs="Helvetica"/>
        </w:rPr>
        <w:t>El Plan Integral y el Calendario de Coordinación son los instrumentos por medio de los cuales el INE planea y da seguimiento a la correcta organización de los Procesos Electorales Locales y, en este caso, de elecciones extraordinarias. El Calendario está integrado por las actividades estratégicas que deben realizar tanto áreas del INE como el OPL para llevar a cabo los comicios extraordinarios y, con el objetivo de que se puedan advertir desfases e implementar acciones para mitigar sus efectos, para cada una de las actividades se especifica cuál es la UR, así como una fecha de inicio y término de la actividad.</w:t>
      </w:r>
    </w:p>
    <w:p w14:paraId="446CE944" w14:textId="591DA11A" w:rsidR="00AA714E" w:rsidRPr="00220394" w:rsidRDefault="00546B1F">
      <w:pPr>
        <w:spacing w:before="200" w:line="360" w:lineRule="auto"/>
        <w:ind w:firstLine="720"/>
        <w:jc w:val="both"/>
        <w:rPr>
          <w:rFonts w:ascii="Helvetica" w:eastAsia="Arial" w:hAnsi="Helvetica" w:cs="Helvetica"/>
        </w:rPr>
      </w:pPr>
      <w:r w:rsidRPr="00220394">
        <w:rPr>
          <w:rFonts w:ascii="Helvetica" w:eastAsia="Arial" w:hAnsi="Helvetica" w:cs="Helvetica"/>
        </w:rPr>
        <w:t xml:space="preserve">Derivado del Proceso Electoral Local Concurrente 2020-2021, se presentó la Elección Extraordinaria en el </w:t>
      </w:r>
      <w:r w:rsidR="00220394">
        <w:rPr>
          <w:rFonts w:ascii="Helvetica" w:eastAsia="Arial" w:hAnsi="Helvetica" w:cs="Helvetica"/>
        </w:rPr>
        <w:t>municipio</w:t>
      </w:r>
      <w:r w:rsidRPr="00220394">
        <w:rPr>
          <w:rFonts w:ascii="Helvetica" w:eastAsia="Arial" w:hAnsi="Helvetica" w:cs="Helvetica"/>
        </w:rPr>
        <w:t xml:space="preserve"> de </w:t>
      </w:r>
      <w:r w:rsidRPr="00220394">
        <w:rPr>
          <w:rFonts w:ascii="Helvetica" w:eastAsia="Arial" w:hAnsi="Helvetica" w:cs="Helvetica"/>
          <w:b/>
        </w:rPr>
        <w:t>Atlautla, Estado de México</w:t>
      </w:r>
      <w:r w:rsidRPr="00220394">
        <w:rPr>
          <w:rFonts w:ascii="Helvetica" w:eastAsia="Arial" w:hAnsi="Helvetica" w:cs="Helvetica"/>
        </w:rPr>
        <w:t xml:space="preserve">, en el que la fecha de Jornada Electoral será el 15 de mayo del </w:t>
      </w:r>
      <w:r w:rsidR="00C631B0">
        <w:rPr>
          <w:rFonts w:ascii="Helvetica" w:eastAsia="Arial" w:hAnsi="Helvetica" w:cs="Helvetica"/>
        </w:rPr>
        <w:t>2022</w:t>
      </w:r>
      <w:r w:rsidRPr="00220394">
        <w:rPr>
          <w:rFonts w:ascii="Helvetica" w:eastAsia="Arial" w:hAnsi="Helvetica" w:cs="Helvetica"/>
        </w:rPr>
        <w:t xml:space="preserve">. A </w:t>
      </w:r>
      <w:r w:rsidR="009F4D0F" w:rsidRPr="00220394">
        <w:rPr>
          <w:rFonts w:ascii="Helvetica" w:eastAsia="Arial" w:hAnsi="Helvetica" w:cs="Helvetica"/>
        </w:rPr>
        <w:t>continuación,</w:t>
      </w:r>
      <w:r w:rsidRPr="00220394">
        <w:rPr>
          <w:rFonts w:ascii="Helvetica" w:eastAsia="Arial" w:hAnsi="Helvetica" w:cs="Helvetica"/>
        </w:rPr>
        <w:t xml:space="preserve"> se describe la causal de nulidad de la Elección Ordinaria en el </w:t>
      </w:r>
      <w:r w:rsidR="00220394">
        <w:rPr>
          <w:rFonts w:ascii="Helvetica" w:eastAsia="Arial" w:hAnsi="Helvetica" w:cs="Helvetica"/>
        </w:rPr>
        <w:t>municipio</w:t>
      </w:r>
      <w:r w:rsidRPr="00220394">
        <w:rPr>
          <w:rFonts w:ascii="Helvetica" w:eastAsia="Arial" w:hAnsi="Helvetica" w:cs="Helvetica"/>
        </w:rPr>
        <w:t>.</w:t>
      </w:r>
    </w:p>
    <w:p w14:paraId="213DA714" w14:textId="670027A6" w:rsidR="00AA714E" w:rsidRPr="00220394" w:rsidRDefault="00546B1F" w:rsidP="009F4D0F">
      <w:pPr>
        <w:spacing w:before="200" w:line="360" w:lineRule="auto"/>
        <w:ind w:firstLine="720"/>
        <w:jc w:val="both"/>
        <w:rPr>
          <w:rFonts w:ascii="Helvetica" w:eastAsia="Arial" w:hAnsi="Helvetica" w:cs="Helvetica"/>
        </w:rPr>
      </w:pPr>
      <w:r w:rsidRPr="00220394">
        <w:rPr>
          <w:rFonts w:ascii="Helvetica" w:eastAsia="Arial" w:hAnsi="Helvetica" w:cs="Helvetica"/>
        </w:rPr>
        <w:t xml:space="preserve">En </w:t>
      </w:r>
      <w:r w:rsidRPr="00220394">
        <w:rPr>
          <w:rFonts w:ascii="Helvetica" w:eastAsia="Arial" w:hAnsi="Helvetica" w:cs="Helvetica"/>
          <w:b/>
        </w:rPr>
        <w:t>Atlautla, Estado de México</w:t>
      </w:r>
      <w:r w:rsidRPr="00220394">
        <w:rPr>
          <w:rFonts w:ascii="Helvetica" w:eastAsia="Arial" w:hAnsi="Helvetica" w:cs="Helvetica"/>
        </w:rPr>
        <w:t>, la Jornada Electoral se desarrolló el 6 de junio de 2021, mientras que el Cómputo Municipal sucedió el 9 de junio del mismo año</w:t>
      </w:r>
      <w:r w:rsidR="00220394" w:rsidRPr="00220394">
        <w:rPr>
          <w:rFonts w:ascii="Helvetica" w:eastAsia="Arial" w:hAnsi="Helvetica" w:cs="Helvetica"/>
        </w:rPr>
        <w:t>.</w:t>
      </w:r>
      <w:r w:rsidRPr="00220394">
        <w:rPr>
          <w:rFonts w:ascii="Helvetica" w:eastAsia="Arial" w:hAnsi="Helvetica" w:cs="Helvetica"/>
        </w:rPr>
        <w:t xml:space="preserve"> </w:t>
      </w:r>
      <w:r w:rsidR="00220394" w:rsidRPr="00220394">
        <w:rPr>
          <w:rFonts w:ascii="Helvetica" w:eastAsia="Arial" w:hAnsi="Helvetica" w:cs="Helvetica"/>
        </w:rPr>
        <w:t xml:space="preserve">Resultó </w:t>
      </w:r>
      <w:r w:rsidRPr="00220394">
        <w:rPr>
          <w:rFonts w:ascii="Helvetica" w:eastAsia="Arial" w:hAnsi="Helvetica" w:cs="Helvetica"/>
        </w:rPr>
        <w:t>ganadora la planilla postulada por la Coalición “Juntos Haremos Historia en el Estado de México”, conformada por los partidos políticos Morena, del Trabajo y Nueva Alianza Estado de México. El 13 de junio, el Partido Revolucionario Institucional (PRI) presentó Juicio de Inconformidad en contra de la validez de la elección. El 9 de noviembre, la autoridad jurisdiccional local confirmó el acta de cómputo y la entrega de las constancias de mayoría.</w:t>
      </w:r>
    </w:p>
    <w:p w14:paraId="553F67C8" w14:textId="2BE9CD74" w:rsidR="00AA714E" w:rsidRPr="00220394" w:rsidRDefault="00546B1F" w:rsidP="009F4D0F">
      <w:pPr>
        <w:spacing w:before="200" w:line="360" w:lineRule="auto"/>
        <w:ind w:firstLine="720"/>
        <w:jc w:val="both"/>
        <w:rPr>
          <w:rFonts w:ascii="Helvetica" w:eastAsia="Arial" w:hAnsi="Helvetica" w:cs="Helvetica"/>
        </w:rPr>
      </w:pPr>
      <w:r w:rsidRPr="0D9416CA">
        <w:rPr>
          <w:rFonts w:ascii="Helvetica" w:eastAsia="Arial" w:hAnsi="Helvetica" w:cs="Helvetica"/>
        </w:rPr>
        <w:t xml:space="preserve">El 12 de noviembre, el PRI presentó, en contra de la sentencia del Tribunal Electoral Local, la demanda de Juicio de Inconformidad Constitucional ante la  Sala Regional del TEPJF con sede en Toluca; la cual determinó, en el expediente ST-JRC-227/2021, la nulidad de la elección por la acreditación de violencia política en razón de género en contra de la candidata del partido que se ubicó en segundo lugar en la elección PRI, señalando que existe un muy alto grado de probabilidad de que, en el contexto de la contienda electoral, los hechos </w:t>
      </w:r>
      <w:r w:rsidRPr="0D9416CA">
        <w:rPr>
          <w:rFonts w:ascii="Helvetica" w:eastAsia="Arial" w:hAnsi="Helvetica" w:cs="Helvetica"/>
        </w:rPr>
        <w:lastRenderedPageBreak/>
        <w:t xml:space="preserve">acreditados hayan trascendido al resultado de la elección. La nulidad quedó firme, toda vez que la Sala Superior del TEPJF confirmó la sentencia de la Sala Regional en el expediente </w:t>
      </w:r>
      <w:r w:rsidRPr="0D9416CA">
        <w:rPr>
          <w:rFonts w:ascii="Helvetica" w:eastAsia="Arial" w:hAnsi="Helvetica" w:cs="Helvetica"/>
          <w:highlight w:val="white"/>
        </w:rPr>
        <w:t>SUP-REC-2214/2021 y acumulados</w:t>
      </w:r>
      <w:r w:rsidRPr="0D9416CA">
        <w:rPr>
          <w:rFonts w:ascii="Helvetica" w:eastAsia="Arial" w:hAnsi="Helvetica" w:cs="Helvetica"/>
        </w:rPr>
        <w:t>, el 29 de diciembre de 2021.</w:t>
      </w:r>
    </w:p>
    <w:p w14:paraId="7C7D425D" w14:textId="437B9942" w:rsidR="00AA714E" w:rsidRPr="00220394" w:rsidRDefault="00546B1F" w:rsidP="009F4D0F">
      <w:pPr>
        <w:spacing w:before="200" w:line="360" w:lineRule="auto"/>
        <w:ind w:firstLine="720"/>
        <w:jc w:val="both"/>
        <w:rPr>
          <w:rFonts w:ascii="Helvetica" w:eastAsia="Arial" w:hAnsi="Helvetica" w:cs="Helvetica"/>
        </w:rPr>
      </w:pPr>
      <w:r w:rsidRPr="0D9416CA">
        <w:rPr>
          <w:rFonts w:ascii="Helvetica" w:eastAsia="Arial" w:hAnsi="Helvetica" w:cs="Helvetica"/>
        </w:rPr>
        <w:t>El Congreso de la Entidad, en fecha 10 de febrero</w:t>
      </w:r>
      <w:r w:rsidR="00051D3F">
        <w:rPr>
          <w:rFonts w:ascii="Helvetica" w:eastAsia="Arial" w:hAnsi="Helvetica" w:cs="Helvetica"/>
        </w:rPr>
        <w:t xml:space="preserve"> de 2022</w:t>
      </w:r>
      <w:r w:rsidRPr="0D9416CA">
        <w:rPr>
          <w:rFonts w:ascii="Helvetica" w:eastAsia="Arial" w:hAnsi="Helvetica" w:cs="Helvetica"/>
        </w:rPr>
        <w:t xml:space="preserve">, aprobó el Decreto número 25, en el cual se expide la Convocatoria para elegir a las y los integrantes del Ayuntamiento de Atlautla, señalando como fecha de Jornada Electoral del </w:t>
      </w:r>
      <w:r w:rsidRPr="00D97CDD">
        <w:rPr>
          <w:rFonts w:ascii="Helvetica" w:eastAsia="Arial" w:hAnsi="Helvetica" w:cs="Helvetica"/>
          <w:b/>
          <w:bCs/>
        </w:rPr>
        <w:t>1</w:t>
      </w:r>
      <w:r w:rsidRPr="0D9416CA">
        <w:rPr>
          <w:rFonts w:ascii="Helvetica" w:eastAsia="Arial" w:hAnsi="Helvetica" w:cs="Helvetica"/>
          <w:b/>
          <w:bCs/>
        </w:rPr>
        <w:t>5 de mayo de 2022</w:t>
      </w:r>
      <w:r w:rsidRPr="0D9416CA">
        <w:rPr>
          <w:rFonts w:ascii="Helvetica" w:eastAsia="Arial" w:hAnsi="Helvetica" w:cs="Helvetica"/>
        </w:rPr>
        <w:t>. El 23 de febrero del año en curso, el Consejo General del OPL</w:t>
      </w:r>
      <w:r w:rsidR="00F933B6">
        <w:rPr>
          <w:rFonts w:ascii="Helvetica" w:eastAsia="Arial" w:hAnsi="Helvetica" w:cs="Helvetica"/>
        </w:rPr>
        <w:t xml:space="preserve"> </w:t>
      </w:r>
      <w:r w:rsidRPr="0D9416CA">
        <w:rPr>
          <w:rFonts w:ascii="Helvetica" w:eastAsia="Arial" w:hAnsi="Helvetica" w:cs="Helvetica"/>
        </w:rPr>
        <w:t xml:space="preserve">del Estado de México, en sesión extraordinaria, aprobó en Acuerdo IEEM/CG/04/2022 el calendario de la Elección Extraordinaria del </w:t>
      </w:r>
      <w:r w:rsidR="00220394" w:rsidRPr="0D9416CA">
        <w:rPr>
          <w:rFonts w:ascii="Helvetica" w:eastAsia="Arial" w:hAnsi="Helvetica" w:cs="Helvetica"/>
        </w:rPr>
        <w:t>municipio</w:t>
      </w:r>
      <w:r w:rsidRPr="0D9416CA">
        <w:rPr>
          <w:rFonts w:ascii="Helvetica" w:eastAsia="Arial" w:hAnsi="Helvetica" w:cs="Helvetica"/>
        </w:rPr>
        <w:t xml:space="preserve"> de Atlautla.</w:t>
      </w:r>
    </w:p>
    <w:p w14:paraId="6C67DA66" w14:textId="4CE15C41" w:rsidR="00AA714E" w:rsidRPr="00220394" w:rsidRDefault="00546B1F">
      <w:pPr>
        <w:spacing w:line="360" w:lineRule="auto"/>
        <w:ind w:firstLine="720"/>
        <w:jc w:val="both"/>
        <w:rPr>
          <w:rFonts w:ascii="Helvetica" w:eastAsia="Arial" w:hAnsi="Helvetica" w:cs="Helvetica"/>
        </w:rPr>
      </w:pPr>
      <w:r w:rsidRPr="00220394">
        <w:rPr>
          <w:rFonts w:ascii="Helvetica" w:eastAsia="Arial" w:hAnsi="Helvetica" w:cs="Helvetica"/>
        </w:rPr>
        <w:t xml:space="preserve">En virtud de lo anteriormente referido, el presente Calendario de Coordinación tiene como objetivo central dar seguimiento a las actividades esenciales para la organización del </w:t>
      </w:r>
      <w:r w:rsidR="005A5C22" w:rsidRPr="00220394">
        <w:rPr>
          <w:rFonts w:ascii="Helvetica" w:eastAsia="Arial" w:hAnsi="Helvetica" w:cs="Helvetica"/>
        </w:rPr>
        <w:t xml:space="preserve">Proceso Electoral Extraordinario Local </w:t>
      </w:r>
      <w:r w:rsidRPr="00220394">
        <w:rPr>
          <w:rFonts w:ascii="Helvetica" w:eastAsia="Arial" w:hAnsi="Helvetica" w:cs="Helvetica"/>
        </w:rPr>
        <w:t>2022. Sus componentes son cuantitativos, ya que permitirá saber el número de actividades que han dado inicio y las que han concluido y, las que están dentro y fuera de plazo; también, cualitativo ya que contiene una breve nota que describe la manera en que se dio cumplimiento cada una de las actividades.</w:t>
      </w:r>
      <w:r w:rsidRPr="00220394">
        <w:rPr>
          <w:rFonts w:ascii="Helvetica" w:eastAsia="Helvetica Neue" w:hAnsi="Helvetica" w:cs="Helvetica"/>
        </w:rPr>
        <w:t xml:space="preserve"> </w:t>
      </w:r>
      <w:r w:rsidRPr="00220394">
        <w:rPr>
          <w:rFonts w:ascii="Helvetica" w:hAnsi="Helvetica" w:cs="Helvetica"/>
        </w:rPr>
        <w:br w:type="page"/>
      </w:r>
    </w:p>
    <w:p w14:paraId="67327B8E" w14:textId="77777777" w:rsidR="00AA714E" w:rsidRPr="00220394" w:rsidRDefault="00546B1F">
      <w:pPr>
        <w:numPr>
          <w:ilvl w:val="0"/>
          <w:numId w:val="2"/>
        </w:numPr>
        <w:rPr>
          <w:rFonts w:ascii="Helvetica" w:eastAsia="Helvetica Neue" w:hAnsi="Helvetica" w:cs="Helvetica"/>
          <w:b/>
          <w:sz w:val="46"/>
          <w:szCs w:val="46"/>
        </w:rPr>
      </w:pPr>
      <w:r w:rsidRPr="00220394">
        <w:rPr>
          <w:rFonts w:ascii="Helvetica" w:eastAsia="Helvetica Neue" w:hAnsi="Helvetica" w:cs="Helvetica"/>
          <w:b/>
          <w:sz w:val="46"/>
          <w:szCs w:val="46"/>
        </w:rPr>
        <w:lastRenderedPageBreak/>
        <w:t>Atribuciones de las autoridades electorales</w:t>
      </w:r>
    </w:p>
    <w:p w14:paraId="16BAE435" w14:textId="77777777" w:rsidR="00AA714E" w:rsidRPr="00220394" w:rsidRDefault="00AA714E">
      <w:pPr>
        <w:rPr>
          <w:rFonts w:ascii="Helvetica" w:eastAsia="Helvetica Neue" w:hAnsi="Helvetica" w:cs="Helvetica"/>
        </w:rPr>
      </w:pPr>
    </w:p>
    <w:p w14:paraId="1AD19521" w14:textId="77777777" w:rsidR="00AA714E" w:rsidRPr="00220394" w:rsidRDefault="00546B1F">
      <w:pPr>
        <w:spacing w:before="120" w:after="120" w:line="360" w:lineRule="auto"/>
        <w:jc w:val="both"/>
        <w:rPr>
          <w:rFonts w:ascii="Helvetica" w:eastAsia="Helvetica Neue" w:hAnsi="Helvetica" w:cs="Helvetica"/>
        </w:rPr>
      </w:pPr>
      <w:r w:rsidRPr="00220394">
        <w:rPr>
          <w:rFonts w:ascii="Helvetica" w:eastAsia="Helvetica Neue" w:hAnsi="Helvetica" w:cs="Helvetica"/>
        </w:rPr>
        <w:t>A continuación, se presenta una síntesis de las atribuciones del INE y de los OPL, respecto a la organización de Procesos Electorales Locales. En el artículo 41, base V, apartado B, inciso a) de la CPEUM se indica que corresponde al INE:</w:t>
      </w:r>
    </w:p>
    <w:p w14:paraId="7552DE97" w14:textId="77777777" w:rsidR="00AA714E" w:rsidRPr="00220394" w:rsidRDefault="00546B1F">
      <w:pPr>
        <w:numPr>
          <w:ilvl w:val="0"/>
          <w:numId w:val="4"/>
        </w:numPr>
        <w:spacing w:before="120" w:line="360" w:lineRule="auto"/>
        <w:jc w:val="both"/>
        <w:rPr>
          <w:rFonts w:ascii="Helvetica" w:eastAsia="Helvetica Neue" w:hAnsi="Helvetica" w:cs="Helvetica"/>
        </w:rPr>
      </w:pPr>
      <w:r w:rsidRPr="00220394">
        <w:rPr>
          <w:rFonts w:ascii="Helvetica" w:eastAsia="Helvetica Neue" w:hAnsi="Helvetica" w:cs="Helvetica"/>
        </w:rPr>
        <w:t>La Capacitación Electoral;</w:t>
      </w:r>
    </w:p>
    <w:p w14:paraId="07322B43" w14:textId="77777777" w:rsidR="00AA714E" w:rsidRPr="00220394" w:rsidRDefault="00546B1F">
      <w:pPr>
        <w:numPr>
          <w:ilvl w:val="0"/>
          <w:numId w:val="4"/>
        </w:numPr>
        <w:spacing w:line="360" w:lineRule="auto"/>
        <w:jc w:val="both"/>
        <w:rPr>
          <w:rFonts w:ascii="Helvetica" w:eastAsia="Helvetica Neue" w:hAnsi="Helvetica" w:cs="Helvetica"/>
        </w:rPr>
      </w:pPr>
      <w:r w:rsidRPr="00220394">
        <w:rPr>
          <w:rFonts w:ascii="Helvetica" w:eastAsia="Helvetica Neue" w:hAnsi="Helvetica" w:cs="Helvetica"/>
        </w:rPr>
        <w:t>La geografía electoral, así como el diseño y determinación de los distritos electorales y división del territorio en secciones electorales;</w:t>
      </w:r>
    </w:p>
    <w:p w14:paraId="2AB26C1A" w14:textId="77777777" w:rsidR="00AA714E" w:rsidRPr="00220394" w:rsidRDefault="00546B1F">
      <w:pPr>
        <w:numPr>
          <w:ilvl w:val="0"/>
          <w:numId w:val="4"/>
        </w:numPr>
        <w:spacing w:line="360" w:lineRule="auto"/>
        <w:jc w:val="both"/>
        <w:rPr>
          <w:rFonts w:ascii="Helvetica" w:eastAsia="Helvetica Neue" w:hAnsi="Helvetica" w:cs="Helvetica"/>
        </w:rPr>
      </w:pPr>
      <w:r w:rsidRPr="00220394">
        <w:rPr>
          <w:rFonts w:ascii="Helvetica" w:eastAsia="Helvetica Neue" w:hAnsi="Helvetica" w:cs="Helvetica"/>
        </w:rPr>
        <w:t>El Padrón Electoral y la Lista Nominal de Electores;</w:t>
      </w:r>
    </w:p>
    <w:p w14:paraId="19E9F538" w14:textId="77777777" w:rsidR="00AA714E" w:rsidRPr="00220394" w:rsidRDefault="00546B1F">
      <w:pPr>
        <w:numPr>
          <w:ilvl w:val="0"/>
          <w:numId w:val="4"/>
        </w:numPr>
        <w:spacing w:line="360" w:lineRule="auto"/>
        <w:jc w:val="both"/>
        <w:rPr>
          <w:rFonts w:ascii="Helvetica" w:eastAsia="Helvetica Neue" w:hAnsi="Helvetica" w:cs="Helvetica"/>
        </w:rPr>
      </w:pPr>
      <w:r w:rsidRPr="00220394">
        <w:rPr>
          <w:rFonts w:ascii="Helvetica" w:eastAsia="Helvetica Neue" w:hAnsi="Helvetica" w:cs="Helvetica"/>
        </w:rPr>
        <w:t>La Ubicación de las Casillas y la designación de las y los Funcionarios de las Mesas Directivas de Casillas;</w:t>
      </w:r>
    </w:p>
    <w:p w14:paraId="3F711BAB" w14:textId="77777777" w:rsidR="00AA714E" w:rsidRPr="00220394" w:rsidRDefault="00546B1F">
      <w:pPr>
        <w:numPr>
          <w:ilvl w:val="0"/>
          <w:numId w:val="4"/>
        </w:numPr>
        <w:spacing w:line="360" w:lineRule="auto"/>
        <w:jc w:val="both"/>
        <w:rPr>
          <w:rFonts w:ascii="Helvetica" w:eastAsia="Helvetica Neue" w:hAnsi="Helvetica" w:cs="Helvetica"/>
        </w:rPr>
      </w:pPr>
      <w:r w:rsidRPr="00220394">
        <w:rPr>
          <w:rFonts w:ascii="Helvetica" w:eastAsia="Helvetica Neue" w:hAnsi="Helvetica" w:cs="Helvetica"/>
        </w:rPr>
        <w:t>Las reglas, lineamientos, criterios y formatos en materia de resultados preliminares; encuestas o sondeos de opinión; observación electoral; conteos rápidos; impresión de documentos y producción de materiales electorales.</w:t>
      </w:r>
    </w:p>
    <w:p w14:paraId="713F3D0B" w14:textId="77777777" w:rsidR="00AA714E" w:rsidRPr="00220394" w:rsidRDefault="00546B1F">
      <w:pPr>
        <w:numPr>
          <w:ilvl w:val="0"/>
          <w:numId w:val="4"/>
        </w:numPr>
        <w:spacing w:line="360" w:lineRule="auto"/>
        <w:jc w:val="both"/>
        <w:rPr>
          <w:rFonts w:ascii="Helvetica" w:eastAsia="Helvetica Neue" w:hAnsi="Helvetica" w:cs="Helvetica"/>
        </w:rPr>
      </w:pPr>
      <w:r w:rsidRPr="00220394">
        <w:rPr>
          <w:rFonts w:ascii="Helvetica" w:eastAsia="Helvetica Neue" w:hAnsi="Helvetica" w:cs="Helvetica"/>
        </w:rPr>
        <w:t>La Fiscalización de los Ingresos y Egresos de los Partidos Políticos y Candidaturas Independientes, y</w:t>
      </w:r>
    </w:p>
    <w:p w14:paraId="2215CB9B" w14:textId="77777777" w:rsidR="00AA714E" w:rsidRPr="00220394" w:rsidRDefault="00546B1F">
      <w:pPr>
        <w:numPr>
          <w:ilvl w:val="0"/>
          <w:numId w:val="4"/>
        </w:numPr>
        <w:spacing w:after="120" w:line="360" w:lineRule="auto"/>
        <w:jc w:val="both"/>
        <w:rPr>
          <w:rFonts w:ascii="Helvetica" w:eastAsia="Helvetica Neue" w:hAnsi="Helvetica" w:cs="Helvetica"/>
        </w:rPr>
      </w:pPr>
      <w:r w:rsidRPr="00220394">
        <w:rPr>
          <w:rFonts w:ascii="Helvetica" w:eastAsia="Helvetica Neue" w:hAnsi="Helvetica" w:cs="Helvetica"/>
        </w:rPr>
        <w:t>Las demás que determine la Ley.</w:t>
      </w:r>
    </w:p>
    <w:p w14:paraId="3930AF7C" w14:textId="77777777" w:rsidR="00AA714E" w:rsidRPr="00220394" w:rsidRDefault="00546B1F">
      <w:pPr>
        <w:spacing w:before="120" w:after="120" w:line="360" w:lineRule="auto"/>
        <w:jc w:val="both"/>
        <w:rPr>
          <w:rFonts w:ascii="Helvetica" w:eastAsia="Helvetica Neue" w:hAnsi="Helvetica" w:cs="Helvetica"/>
        </w:rPr>
      </w:pPr>
      <w:r w:rsidRPr="00220394">
        <w:rPr>
          <w:rFonts w:ascii="Helvetica" w:eastAsia="Helvetica Neue" w:hAnsi="Helvetica" w:cs="Helvetica"/>
        </w:rPr>
        <w:t>El apartado C de la misma base y artículo de la CPEUM indica que los OPL ejercerán funciones en las siguientes materias:</w:t>
      </w:r>
    </w:p>
    <w:p w14:paraId="1BC8E80A" w14:textId="77777777" w:rsidR="00AA714E" w:rsidRPr="00220394" w:rsidRDefault="00546B1F">
      <w:pPr>
        <w:numPr>
          <w:ilvl w:val="0"/>
          <w:numId w:val="3"/>
        </w:numPr>
        <w:spacing w:before="240" w:line="360" w:lineRule="auto"/>
        <w:jc w:val="both"/>
        <w:rPr>
          <w:rFonts w:ascii="Helvetica" w:eastAsia="Helvetica Neue" w:hAnsi="Helvetica" w:cs="Helvetica"/>
        </w:rPr>
      </w:pPr>
      <w:r w:rsidRPr="00220394">
        <w:rPr>
          <w:rFonts w:ascii="Helvetica" w:eastAsia="Helvetica Neue" w:hAnsi="Helvetica" w:cs="Helvetica"/>
        </w:rPr>
        <w:t>Derechos y el acceso a las Prerrogativas de las Candidaturas Independientes y Partidos Políticos;</w:t>
      </w:r>
    </w:p>
    <w:p w14:paraId="057A7FC2"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rPr>
        <w:t>Educación Cívica;</w:t>
      </w:r>
    </w:p>
    <w:p w14:paraId="4783EAD3"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rPr>
        <w:t>Preparación de la Jornada Electoral;</w:t>
      </w:r>
    </w:p>
    <w:p w14:paraId="2AD48715"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sz w:val="14"/>
          <w:szCs w:val="14"/>
        </w:rPr>
        <w:t xml:space="preserve"> </w:t>
      </w:r>
      <w:r w:rsidRPr="00220394">
        <w:rPr>
          <w:rFonts w:ascii="Helvetica" w:eastAsia="Helvetica Neue" w:hAnsi="Helvetica" w:cs="Helvetica"/>
        </w:rPr>
        <w:t>Impresión de documentos y la producción de Materiales Electorales;</w:t>
      </w:r>
    </w:p>
    <w:p w14:paraId="364EEFB8"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sz w:val="14"/>
          <w:szCs w:val="14"/>
        </w:rPr>
        <w:t xml:space="preserve"> </w:t>
      </w:r>
      <w:r w:rsidRPr="00220394">
        <w:rPr>
          <w:rFonts w:ascii="Helvetica" w:eastAsia="Helvetica Neue" w:hAnsi="Helvetica" w:cs="Helvetica"/>
        </w:rPr>
        <w:t>Escrutinios y Cómputos en los términos que señale la Ley;</w:t>
      </w:r>
    </w:p>
    <w:p w14:paraId="0D4F3D70"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rPr>
        <w:t>Declaración de validez y el otorgamiento de constancias en las Elecciones Locales;</w:t>
      </w:r>
    </w:p>
    <w:p w14:paraId="33F4B220"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rPr>
        <w:t>Cómputo de la elección del Titular del Poder Ejecutivo;</w:t>
      </w:r>
    </w:p>
    <w:p w14:paraId="4D62578E"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rPr>
        <w:lastRenderedPageBreak/>
        <w:t>Resultados Preliminares; encuestas o sondeos de opinión; observación electoral, y conteos rápidos, conforme a los lineamientos establecidos en el Apartado anterior;</w:t>
      </w:r>
    </w:p>
    <w:p w14:paraId="50C5CBEF" w14:textId="77777777" w:rsidR="00AA714E" w:rsidRPr="00220394" w:rsidRDefault="00546B1F">
      <w:pPr>
        <w:numPr>
          <w:ilvl w:val="0"/>
          <w:numId w:val="3"/>
        </w:numPr>
        <w:spacing w:line="360" w:lineRule="auto"/>
        <w:jc w:val="both"/>
        <w:rPr>
          <w:rFonts w:ascii="Helvetica" w:eastAsia="Helvetica Neue" w:hAnsi="Helvetica" w:cs="Helvetica"/>
        </w:rPr>
      </w:pPr>
      <w:r w:rsidRPr="00220394">
        <w:rPr>
          <w:rFonts w:ascii="Helvetica" w:eastAsia="Helvetica Neue" w:hAnsi="Helvetica" w:cs="Helvetica"/>
        </w:rPr>
        <w:t>Organización, desarrollo, Cómputo y declaración de resultados en los mecanismos de participación ciudadana que prevea la legislación local;</w:t>
      </w:r>
    </w:p>
    <w:p w14:paraId="4F2D7880" w14:textId="77B342B4" w:rsidR="00AA714E" w:rsidRPr="00220394" w:rsidRDefault="00546B1F">
      <w:pPr>
        <w:numPr>
          <w:ilvl w:val="0"/>
          <w:numId w:val="3"/>
        </w:numPr>
        <w:spacing w:line="360" w:lineRule="auto"/>
        <w:jc w:val="both"/>
        <w:rPr>
          <w:rFonts w:ascii="Helvetica" w:eastAsia="Helvetica Neue" w:hAnsi="Helvetica" w:cs="Helvetica"/>
        </w:rPr>
      </w:pPr>
      <w:r w:rsidRPr="0D9416CA">
        <w:rPr>
          <w:rFonts w:ascii="Helvetica" w:eastAsia="Helvetica Neue" w:hAnsi="Helvetica" w:cs="Helvetica"/>
        </w:rPr>
        <w:t>Todas las no reservadas al INE, y</w:t>
      </w:r>
    </w:p>
    <w:p w14:paraId="1E7496D3" w14:textId="77777777" w:rsidR="00AA714E" w:rsidRPr="00220394" w:rsidRDefault="00546B1F">
      <w:pPr>
        <w:numPr>
          <w:ilvl w:val="0"/>
          <w:numId w:val="3"/>
        </w:numPr>
        <w:spacing w:after="240" w:line="360" w:lineRule="auto"/>
        <w:jc w:val="both"/>
        <w:rPr>
          <w:rFonts w:ascii="Helvetica" w:eastAsia="Helvetica Neue" w:hAnsi="Helvetica" w:cs="Helvetica"/>
        </w:rPr>
      </w:pPr>
      <w:r w:rsidRPr="00220394">
        <w:rPr>
          <w:rFonts w:ascii="Helvetica" w:eastAsia="Helvetica Neue" w:hAnsi="Helvetica" w:cs="Helvetica"/>
        </w:rPr>
        <w:t>Las que determine la Ley.</w:t>
      </w:r>
    </w:p>
    <w:p w14:paraId="79CAEBB3" w14:textId="77777777" w:rsidR="00AA714E" w:rsidRPr="00220394" w:rsidRDefault="00546B1F">
      <w:pPr>
        <w:spacing w:before="120" w:after="120" w:line="360" w:lineRule="auto"/>
        <w:jc w:val="both"/>
        <w:rPr>
          <w:rFonts w:ascii="Helvetica" w:eastAsia="Helvetica Neue" w:hAnsi="Helvetica" w:cs="Helvetica"/>
        </w:rPr>
      </w:pPr>
      <w:r w:rsidRPr="00220394">
        <w:rPr>
          <w:rFonts w:ascii="Helvetica" w:eastAsia="Helvetica Neue" w:hAnsi="Helvetica" w:cs="Helvetica"/>
        </w:rPr>
        <w:t>Ante las atribuciones de coordinación con los OPL, el INE tomó la determinación de normar diversas actividades por medio de la facultad de atracción. El ejemplo más notorio de ello es el Reglamento de Elecciones y sus anexos, que desde su publicación en 2016 se ha convertido en una guía para la organización y coordinación de los comicios tanto Locales como Federales.</w:t>
      </w:r>
    </w:p>
    <w:p w14:paraId="78C12411" w14:textId="6FAEFB8D" w:rsidR="00AA714E" w:rsidRPr="00220394" w:rsidRDefault="00546B1F">
      <w:pPr>
        <w:spacing w:before="120" w:after="120" w:line="360" w:lineRule="auto"/>
        <w:ind w:firstLine="720"/>
        <w:jc w:val="both"/>
        <w:rPr>
          <w:rFonts w:ascii="Helvetica" w:eastAsia="Helvetica Neue" w:hAnsi="Helvetica" w:cs="Helvetica"/>
        </w:rPr>
      </w:pPr>
      <w:r w:rsidRPr="00220394">
        <w:rPr>
          <w:rFonts w:ascii="Helvetica" w:eastAsia="Helvetica Neue" w:hAnsi="Helvetica" w:cs="Helvetica"/>
        </w:rPr>
        <w:t xml:space="preserve">Considerando lo señalado en este apartado, el Plan Integral y Calendario </w:t>
      </w:r>
      <w:r w:rsidR="006A5109">
        <w:rPr>
          <w:rFonts w:ascii="Helvetica" w:eastAsia="Helvetica Neue" w:hAnsi="Helvetica" w:cs="Helvetica"/>
        </w:rPr>
        <w:t xml:space="preserve">son </w:t>
      </w:r>
      <w:r w:rsidRPr="00220394">
        <w:rPr>
          <w:rFonts w:ascii="Helvetica" w:eastAsia="Helvetica Neue" w:hAnsi="Helvetica" w:cs="Helvetica"/>
        </w:rPr>
        <w:t xml:space="preserve">los instrumentos que los actores involucrados tendrán para obtener información de forma precisa en el ámbito de competencia de cada uno, los espacios de coordinación estratégicos y los periodos en los que tendrá que cumplirse cada actividad. Ello permitirá que tanto el INE como los OPL cuenten con una mejor planeación, con la finalidad de encontrar mecanismos de colaboración ante posibles dificultades operativas. El objetivo es fortalecer la organización electoral con procesos más eficientes, elevando la profesionalización y estándares de calidad de cada una de las etapas de la elección. </w:t>
      </w:r>
    </w:p>
    <w:p w14:paraId="24918BB3" w14:textId="77777777" w:rsidR="00AA714E" w:rsidRPr="00220394" w:rsidRDefault="00AA714E">
      <w:pPr>
        <w:rPr>
          <w:rFonts w:ascii="Helvetica" w:eastAsia="Helvetica Neue" w:hAnsi="Helvetica" w:cs="Helvetica"/>
        </w:rPr>
      </w:pPr>
    </w:p>
    <w:p w14:paraId="7EA91EAD" w14:textId="77777777" w:rsidR="00AA714E" w:rsidRPr="00220394" w:rsidRDefault="00546B1F">
      <w:pPr>
        <w:spacing w:before="240" w:after="240"/>
        <w:rPr>
          <w:rFonts w:ascii="Helvetica" w:eastAsia="Helvetica Neue" w:hAnsi="Helvetica" w:cs="Helvetica"/>
        </w:rPr>
      </w:pPr>
      <w:r w:rsidRPr="00220394">
        <w:rPr>
          <w:rFonts w:ascii="Helvetica" w:eastAsia="Helvetica Neue" w:hAnsi="Helvetica" w:cs="Helvetica"/>
        </w:rPr>
        <w:t xml:space="preserve"> </w:t>
      </w:r>
    </w:p>
    <w:p w14:paraId="390ACC15" w14:textId="77777777" w:rsidR="00AA714E" w:rsidRPr="00220394" w:rsidRDefault="00AA714E">
      <w:pPr>
        <w:spacing w:before="240" w:after="240"/>
        <w:rPr>
          <w:rFonts w:ascii="Helvetica" w:eastAsia="Helvetica Neue" w:hAnsi="Helvetica" w:cs="Helvetica"/>
        </w:rPr>
      </w:pPr>
    </w:p>
    <w:p w14:paraId="6E441792" w14:textId="77777777" w:rsidR="00AA714E" w:rsidRPr="00220394" w:rsidRDefault="00AA714E">
      <w:pPr>
        <w:rPr>
          <w:rFonts w:ascii="Helvetica" w:eastAsia="Helvetica Neue" w:hAnsi="Helvetica" w:cs="Helvetica"/>
        </w:rPr>
      </w:pPr>
    </w:p>
    <w:p w14:paraId="454922FE" w14:textId="77777777" w:rsidR="00AA714E" w:rsidRPr="00220394" w:rsidRDefault="00AA714E">
      <w:pPr>
        <w:rPr>
          <w:rFonts w:ascii="Helvetica" w:eastAsia="Helvetica Neue" w:hAnsi="Helvetica" w:cs="Helvetica"/>
        </w:rPr>
      </w:pPr>
    </w:p>
    <w:p w14:paraId="21D033EE" w14:textId="77777777" w:rsidR="00AA714E" w:rsidRPr="00220394" w:rsidRDefault="00546B1F">
      <w:pPr>
        <w:rPr>
          <w:rFonts w:ascii="Helvetica" w:eastAsia="Helvetica Neue" w:hAnsi="Helvetica" w:cs="Helvetica"/>
        </w:rPr>
      </w:pPr>
      <w:r w:rsidRPr="00220394">
        <w:rPr>
          <w:rFonts w:ascii="Helvetica" w:hAnsi="Helvetica" w:cs="Helvetica"/>
        </w:rPr>
        <w:br w:type="page"/>
      </w:r>
    </w:p>
    <w:p w14:paraId="4B64FA24" w14:textId="77777777" w:rsidR="00AA714E" w:rsidRPr="00220394" w:rsidRDefault="00546B1F">
      <w:pPr>
        <w:numPr>
          <w:ilvl w:val="0"/>
          <w:numId w:val="2"/>
        </w:numPr>
        <w:rPr>
          <w:rFonts w:ascii="Helvetica" w:eastAsia="Helvetica Neue" w:hAnsi="Helvetica" w:cs="Helvetica"/>
          <w:b/>
          <w:sz w:val="46"/>
          <w:szCs w:val="46"/>
        </w:rPr>
      </w:pPr>
      <w:r w:rsidRPr="00220394">
        <w:rPr>
          <w:rFonts w:ascii="Helvetica" w:eastAsia="Helvetica Neue" w:hAnsi="Helvetica" w:cs="Helvetica"/>
          <w:b/>
          <w:sz w:val="46"/>
          <w:szCs w:val="46"/>
        </w:rPr>
        <w:lastRenderedPageBreak/>
        <w:t>Municipio con Elección Extraordinaria 2022 y fechas relevantes</w:t>
      </w:r>
    </w:p>
    <w:p w14:paraId="7BDD1842" w14:textId="77777777" w:rsidR="00AA714E" w:rsidRPr="00220394" w:rsidRDefault="00AA714E">
      <w:pPr>
        <w:rPr>
          <w:rFonts w:ascii="Helvetica" w:eastAsia="Helvetica Neue" w:hAnsi="Helvetica" w:cs="Helvetica"/>
          <w:b/>
          <w:sz w:val="46"/>
          <w:szCs w:val="46"/>
        </w:rPr>
      </w:pPr>
    </w:p>
    <w:p w14:paraId="6BF88C5E" w14:textId="2EED5604"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 xml:space="preserve">En este Plan Integral y Calendario de Coordinación está considerada la Elección Extraordinaria en el </w:t>
      </w:r>
      <w:r w:rsidR="00220394">
        <w:rPr>
          <w:rFonts w:ascii="Helvetica" w:eastAsia="Helvetica Neue" w:hAnsi="Helvetica" w:cs="Helvetica"/>
        </w:rPr>
        <w:t>municipio</w:t>
      </w:r>
      <w:r w:rsidRPr="00220394">
        <w:rPr>
          <w:rFonts w:ascii="Helvetica" w:eastAsia="Helvetica Neue" w:hAnsi="Helvetica" w:cs="Helvetica"/>
        </w:rPr>
        <w:t xml:space="preserve"> </w:t>
      </w:r>
      <w:r w:rsidRPr="00220394">
        <w:rPr>
          <w:rFonts w:ascii="Helvetica" w:eastAsia="Helvetica Neue" w:hAnsi="Helvetica" w:cs="Helvetica"/>
          <w:b/>
          <w:color w:val="000000"/>
        </w:rPr>
        <w:t xml:space="preserve">de Atlautla en el Estado de México, </w:t>
      </w:r>
      <w:r w:rsidRPr="00220394">
        <w:rPr>
          <w:rFonts w:ascii="Helvetica" w:eastAsia="Helvetica Neue" w:hAnsi="Helvetica" w:cs="Helvetica"/>
        </w:rPr>
        <w:t xml:space="preserve">con Jornada Electoral </w:t>
      </w:r>
      <w:r w:rsidR="009F4D0F" w:rsidRPr="00220394">
        <w:rPr>
          <w:rFonts w:ascii="Helvetica" w:eastAsia="Helvetica Neue" w:hAnsi="Helvetica" w:cs="Helvetica"/>
        </w:rPr>
        <w:t xml:space="preserve">a realizarse </w:t>
      </w:r>
      <w:r w:rsidRPr="00220394">
        <w:rPr>
          <w:rFonts w:ascii="Helvetica" w:eastAsia="Helvetica Neue" w:hAnsi="Helvetica" w:cs="Helvetica"/>
        </w:rPr>
        <w:t>el</w:t>
      </w:r>
      <w:r w:rsidRPr="00220394">
        <w:rPr>
          <w:rFonts w:ascii="Helvetica" w:eastAsia="Helvetica Neue" w:hAnsi="Helvetica" w:cs="Helvetica"/>
          <w:b/>
        </w:rPr>
        <w:t xml:space="preserve"> 15 de mayo de 2022. </w:t>
      </w:r>
      <w:r w:rsidRPr="00220394">
        <w:rPr>
          <w:rFonts w:ascii="Helvetica" w:eastAsia="Helvetica Neue" w:hAnsi="Helvetica" w:cs="Helvetica"/>
        </w:rPr>
        <w:t xml:space="preserve">En el mapa 1 </w:t>
      </w:r>
      <w:r w:rsidR="00220394">
        <w:rPr>
          <w:rFonts w:ascii="Helvetica" w:eastAsia="Helvetica Neue" w:hAnsi="Helvetica" w:cs="Helvetica"/>
        </w:rPr>
        <w:t>está</w:t>
      </w:r>
      <w:r w:rsidRPr="00220394">
        <w:rPr>
          <w:rFonts w:ascii="Helvetica" w:eastAsia="Helvetica Neue" w:hAnsi="Helvetica" w:cs="Helvetica"/>
        </w:rPr>
        <w:t xml:space="preserve"> señala</w:t>
      </w:r>
      <w:r w:rsidR="00220394">
        <w:rPr>
          <w:rFonts w:ascii="Helvetica" w:eastAsia="Helvetica Neue" w:hAnsi="Helvetica" w:cs="Helvetica"/>
        </w:rPr>
        <w:t>da la ubicación de</w:t>
      </w:r>
      <w:r w:rsidRPr="00220394">
        <w:rPr>
          <w:rFonts w:ascii="Helvetica" w:eastAsia="Helvetica Neue" w:hAnsi="Helvetica" w:cs="Helvetica"/>
        </w:rPr>
        <w:t xml:space="preserve">l </w:t>
      </w:r>
      <w:r w:rsidR="00220394">
        <w:rPr>
          <w:rFonts w:ascii="Helvetica" w:eastAsia="Helvetica Neue" w:hAnsi="Helvetica" w:cs="Helvetica"/>
        </w:rPr>
        <w:t>municipio</w:t>
      </w:r>
      <w:r w:rsidRPr="00220394">
        <w:rPr>
          <w:rFonts w:ascii="Helvetica" w:eastAsia="Helvetica Neue" w:hAnsi="Helvetica" w:cs="Helvetica"/>
        </w:rPr>
        <w:t xml:space="preserve">. </w:t>
      </w:r>
    </w:p>
    <w:p w14:paraId="392DDDAC" w14:textId="77777777" w:rsidR="00AA714E" w:rsidRPr="00220394" w:rsidRDefault="00AA714E">
      <w:pPr>
        <w:spacing w:line="360" w:lineRule="auto"/>
        <w:jc w:val="both"/>
        <w:rPr>
          <w:rFonts w:ascii="Helvetica" w:eastAsia="Helvetica Neue" w:hAnsi="Helvetica" w:cs="Helvetica"/>
        </w:rPr>
      </w:pPr>
    </w:p>
    <w:p w14:paraId="2F9DDC23" w14:textId="77777777" w:rsidR="00AA714E" w:rsidRPr="00220394" w:rsidRDefault="00546B1F">
      <w:pPr>
        <w:spacing w:line="360" w:lineRule="auto"/>
        <w:jc w:val="both"/>
        <w:rPr>
          <w:rFonts w:ascii="Helvetica" w:eastAsia="Helvetica Neue" w:hAnsi="Helvetica" w:cs="Helvetica"/>
          <w:b/>
        </w:rPr>
      </w:pPr>
      <w:r w:rsidRPr="00220394">
        <w:rPr>
          <w:rFonts w:ascii="Helvetica" w:eastAsia="Helvetica Neue" w:hAnsi="Helvetica" w:cs="Helvetica"/>
          <w:b/>
        </w:rPr>
        <w:t>Mapa 1. Municipio Atlautla, Estado de México.</w:t>
      </w:r>
    </w:p>
    <w:p w14:paraId="5612FD96" w14:textId="77777777" w:rsidR="00AA714E" w:rsidRPr="00220394" w:rsidRDefault="00546B1F">
      <w:pPr>
        <w:spacing w:line="360" w:lineRule="auto"/>
        <w:jc w:val="both"/>
        <w:rPr>
          <w:rFonts w:ascii="Helvetica" w:eastAsia="Helvetica Neue" w:hAnsi="Helvetica" w:cs="Helvetica"/>
          <w:b/>
        </w:rPr>
      </w:pPr>
      <w:r w:rsidRPr="00220394">
        <w:rPr>
          <w:rFonts w:ascii="Helvetica" w:eastAsia="Helvetica Neue" w:hAnsi="Helvetica" w:cs="Helvetica"/>
          <w:b/>
          <w:noProof/>
        </w:rPr>
        <w:drawing>
          <wp:inline distT="114300" distB="114300" distL="114300" distR="114300" wp14:anchorId="7B090690" wp14:editId="244DAA51">
            <wp:extent cx="5399730" cy="5321300"/>
            <wp:effectExtent l="0" t="0" r="0" b="0"/>
            <wp:docPr id="66"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5399730" cy="5321300"/>
                    </a:xfrm>
                    <a:prstGeom prst="rect">
                      <a:avLst/>
                    </a:prstGeom>
                    <a:ln/>
                  </pic:spPr>
                </pic:pic>
              </a:graphicData>
            </a:graphic>
          </wp:inline>
        </w:drawing>
      </w:r>
    </w:p>
    <w:p w14:paraId="31973949" w14:textId="77777777" w:rsidR="00AA714E" w:rsidRPr="00220394" w:rsidRDefault="00AA714E">
      <w:pPr>
        <w:spacing w:line="360" w:lineRule="auto"/>
        <w:jc w:val="both"/>
        <w:rPr>
          <w:rFonts w:ascii="Helvetica" w:eastAsia="Helvetica Neue" w:hAnsi="Helvetica" w:cs="Helvetica"/>
          <w:b/>
        </w:rPr>
      </w:pPr>
    </w:p>
    <w:p w14:paraId="117D7E8A" w14:textId="77777777" w:rsidR="00AA714E" w:rsidRPr="00220394" w:rsidRDefault="00546B1F">
      <w:pPr>
        <w:spacing w:line="360" w:lineRule="auto"/>
        <w:jc w:val="both"/>
        <w:rPr>
          <w:rFonts w:ascii="Helvetica" w:eastAsia="Helvetica Neue" w:hAnsi="Helvetica" w:cs="Helvetica"/>
          <w:b/>
        </w:rPr>
      </w:pPr>
      <w:r w:rsidRPr="00220394">
        <w:rPr>
          <w:rFonts w:ascii="Helvetica" w:eastAsia="Helvetica Neue" w:hAnsi="Helvetica" w:cs="Helvetica"/>
          <w:b/>
          <w:sz w:val="28"/>
          <w:szCs w:val="28"/>
        </w:rPr>
        <w:t>Datos electorales</w:t>
      </w:r>
    </w:p>
    <w:p w14:paraId="166C1F85" w14:textId="253A4615" w:rsidR="00AA714E" w:rsidRPr="00220394" w:rsidRDefault="00546B1F">
      <w:pPr>
        <w:spacing w:line="360" w:lineRule="auto"/>
        <w:jc w:val="both"/>
        <w:rPr>
          <w:rFonts w:ascii="Helvetica" w:eastAsia="Helvetica Neue" w:hAnsi="Helvetica" w:cs="Helvetica"/>
          <w:b/>
        </w:rPr>
      </w:pPr>
      <w:r w:rsidRPr="00220394">
        <w:rPr>
          <w:rFonts w:ascii="Helvetica" w:eastAsia="Helvetica Neue" w:hAnsi="Helvetica" w:cs="Helvetica"/>
        </w:rPr>
        <w:lastRenderedPageBreak/>
        <w:t xml:space="preserve">En </w:t>
      </w:r>
      <w:r w:rsidRPr="00220394">
        <w:rPr>
          <w:rFonts w:ascii="Helvetica" w:eastAsia="Helvetica Neue" w:hAnsi="Helvetica" w:cs="Helvetica"/>
          <w:b/>
        </w:rPr>
        <w:t>Atlautla,</w:t>
      </w:r>
      <w:r w:rsidRPr="00220394">
        <w:rPr>
          <w:rFonts w:ascii="Helvetica" w:eastAsia="Helvetica Neue" w:hAnsi="Helvetica" w:cs="Helvetica"/>
        </w:rPr>
        <w:t xml:space="preserve"> Estado de México, la Lista Nominal aprobada para el día de la Jornada Electoral del 6 de junio de 2021 fue de 22,341 ciudadanos y ciudadanas, distribuida en 13 secciones, por lo que en la elección ordinaria fue aprobada la instalación de 38 casillas. En la tabla 1 se muestran a detalle los datos electorales del </w:t>
      </w:r>
      <w:r w:rsidR="00220394">
        <w:rPr>
          <w:rFonts w:ascii="Helvetica" w:eastAsia="Helvetica Neue" w:hAnsi="Helvetica" w:cs="Helvetica"/>
        </w:rPr>
        <w:t>municipio</w:t>
      </w:r>
      <w:r w:rsidRPr="00220394">
        <w:rPr>
          <w:rFonts w:ascii="Helvetica" w:eastAsia="Helvetica Neue" w:hAnsi="Helvetica" w:cs="Helvetica"/>
        </w:rPr>
        <w:t>.</w:t>
      </w:r>
    </w:p>
    <w:p w14:paraId="4D01EB4F" w14:textId="77777777" w:rsidR="00AA714E" w:rsidRPr="00220394" w:rsidRDefault="00AA714E">
      <w:pPr>
        <w:spacing w:line="360" w:lineRule="auto"/>
        <w:jc w:val="both"/>
        <w:rPr>
          <w:rFonts w:ascii="Helvetica" w:eastAsia="Helvetica Neue" w:hAnsi="Helvetica" w:cs="Helvetica"/>
          <w:b/>
        </w:rPr>
      </w:pPr>
    </w:p>
    <w:p w14:paraId="5DAD262A" w14:textId="448327F7" w:rsidR="00AA714E" w:rsidRPr="00220394" w:rsidRDefault="00546B1F">
      <w:pPr>
        <w:spacing w:line="360" w:lineRule="auto"/>
        <w:jc w:val="both"/>
        <w:rPr>
          <w:rFonts w:ascii="Helvetica" w:eastAsia="Helvetica Neue" w:hAnsi="Helvetica" w:cs="Helvetica"/>
          <w:b/>
        </w:rPr>
      </w:pPr>
      <w:r w:rsidRPr="00220394">
        <w:rPr>
          <w:rFonts w:ascii="Helvetica" w:eastAsia="Helvetica Neue" w:hAnsi="Helvetica" w:cs="Helvetica"/>
          <w:b/>
        </w:rPr>
        <w:t xml:space="preserve">Tabla 1. Datos electorales de los </w:t>
      </w:r>
      <w:r w:rsidR="00220394">
        <w:rPr>
          <w:rFonts w:ascii="Helvetica" w:eastAsia="Helvetica Neue" w:hAnsi="Helvetica" w:cs="Helvetica"/>
          <w:b/>
        </w:rPr>
        <w:t>municipio</w:t>
      </w:r>
      <w:r w:rsidRPr="00220394">
        <w:rPr>
          <w:rFonts w:ascii="Helvetica" w:eastAsia="Helvetica Neue" w:hAnsi="Helvetica" w:cs="Helvetica"/>
          <w:b/>
        </w:rPr>
        <w:t>s con Elección Extraordinaria.</w:t>
      </w:r>
    </w:p>
    <w:tbl>
      <w:tblPr>
        <w:tblW w:w="6420"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2475"/>
        <w:gridCol w:w="1305"/>
        <w:gridCol w:w="1335"/>
        <w:gridCol w:w="1305"/>
      </w:tblGrid>
      <w:tr w:rsidR="00AA714E" w:rsidRPr="00220394" w14:paraId="306B9D82" w14:textId="77777777">
        <w:trPr>
          <w:trHeight w:val="655"/>
          <w:jc w:val="center"/>
        </w:trPr>
        <w:tc>
          <w:tcPr>
            <w:tcW w:w="2475" w:type="dxa"/>
            <w:tcBorders>
              <w:top w:val="single" w:sz="6" w:space="0" w:color="000000"/>
              <w:left w:val="single" w:sz="6" w:space="0" w:color="000000"/>
              <w:bottom w:val="single" w:sz="6" w:space="0" w:color="000000"/>
              <w:right w:val="single" w:sz="6" w:space="0" w:color="000000"/>
            </w:tcBorders>
            <w:shd w:val="clear" w:color="auto" w:fill="FF3398"/>
            <w:tcMar>
              <w:top w:w="20" w:type="dxa"/>
              <w:left w:w="20" w:type="dxa"/>
              <w:bottom w:w="100" w:type="dxa"/>
              <w:right w:w="20" w:type="dxa"/>
            </w:tcMar>
            <w:vAlign w:val="center"/>
          </w:tcPr>
          <w:p w14:paraId="569E0BBF" w14:textId="1848F7F1" w:rsidR="00AA714E" w:rsidRPr="00220394" w:rsidRDefault="00220394">
            <w:pPr>
              <w:spacing w:line="360" w:lineRule="auto"/>
              <w:jc w:val="center"/>
              <w:rPr>
                <w:rFonts w:ascii="Helvetica" w:eastAsia="Helvetica Neue" w:hAnsi="Helvetica" w:cs="Helvetica"/>
                <w:b/>
              </w:rPr>
            </w:pPr>
            <w:r>
              <w:rPr>
                <w:rFonts w:ascii="Helvetica" w:eastAsia="Arial" w:hAnsi="Helvetica" w:cs="Helvetica"/>
                <w:b/>
                <w:color w:val="FFFFFF"/>
                <w:sz w:val="20"/>
                <w:szCs w:val="20"/>
              </w:rPr>
              <w:t>Municipio</w:t>
            </w:r>
          </w:p>
        </w:tc>
        <w:tc>
          <w:tcPr>
            <w:tcW w:w="1305"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center"/>
          </w:tcPr>
          <w:p w14:paraId="08358D36"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color w:val="FFFFFF"/>
                <w:sz w:val="20"/>
                <w:szCs w:val="20"/>
              </w:rPr>
              <w:t>Lista nominal</w:t>
            </w:r>
          </w:p>
        </w:tc>
        <w:tc>
          <w:tcPr>
            <w:tcW w:w="1335"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center"/>
          </w:tcPr>
          <w:p w14:paraId="0976F689"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color w:val="FFFFFF"/>
                <w:sz w:val="20"/>
                <w:szCs w:val="20"/>
              </w:rPr>
              <w:t>Secciones</w:t>
            </w:r>
          </w:p>
        </w:tc>
        <w:tc>
          <w:tcPr>
            <w:tcW w:w="1305" w:type="dxa"/>
            <w:tcBorders>
              <w:top w:val="single" w:sz="6" w:space="0" w:color="000000"/>
              <w:left w:val="nil"/>
              <w:bottom w:val="single" w:sz="6" w:space="0" w:color="000000"/>
              <w:right w:val="single" w:sz="6" w:space="0" w:color="000000"/>
            </w:tcBorders>
            <w:shd w:val="clear" w:color="auto" w:fill="FF3398"/>
            <w:tcMar>
              <w:top w:w="20" w:type="dxa"/>
              <w:left w:w="20" w:type="dxa"/>
              <w:bottom w:w="100" w:type="dxa"/>
              <w:right w:w="20" w:type="dxa"/>
            </w:tcMar>
            <w:vAlign w:val="center"/>
          </w:tcPr>
          <w:p w14:paraId="33DC95CD"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color w:val="FFFFFF"/>
                <w:sz w:val="20"/>
                <w:szCs w:val="20"/>
              </w:rPr>
              <w:t>Casillas</w:t>
            </w:r>
          </w:p>
        </w:tc>
      </w:tr>
      <w:tr w:rsidR="00AA714E" w:rsidRPr="00220394" w14:paraId="2CE1A84B" w14:textId="77777777">
        <w:trPr>
          <w:trHeight w:val="415"/>
          <w:jc w:val="center"/>
        </w:trPr>
        <w:tc>
          <w:tcPr>
            <w:tcW w:w="247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2B865B5F"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sz w:val="20"/>
                <w:szCs w:val="20"/>
              </w:rPr>
              <w:t>Atlautla</w:t>
            </w:r>
          </w:p>
        </w:tc>
        <w:tc>
          <w:tcPr>
            <w:tcW w:w="1305"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5C6C0880"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sz w:val="20"/>
                <w:szCs w:val="20"/>
              </w:rPr>
              <w:t>22,341</w:t>
            </w:r>
          </w:p>
        </w:tc>
        <w:tc>
          <w:tcPr>
            <w:tcW w:w="1335"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378F1129"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sz w:val="20"/>
                <w:szCs w:val="20"/>
              </w:rPr>
              <w:t>13</w:t>
            </w:r>
          </w:p>
        </w:tc>
        <w:tc>
          <w:tcPr>
            <w:tcW w:w="1305" w:type="dxa"/>
            <w:tcBorders>
              <w:top w:val="nil"/>
              <w:left w:val="nil"/>
              <w:bottom w:val="single" w:sz="6" w:space="0" w:color="000000"/>
              <w:right w:val="single" w:sz="6" w:space="0" w:color="000000"/>
            </w:tcBorders>
            <w:tcMar>
              <w:top w:w="20" w:type="dxa"/>
              <w:left w:w="20" w:type="dxa"/>
              <w:bottom w:w="100" w:type="dxa"/>
              <w:right w:w="20" w:type="dxa"/>
            </w:tcMar>
            <w:vAlign w:val="center"/>
          </w:tcPr>
          <w:p w14:paraId="069212A3" w14:textId="77777777" w:rsidR="00AA714E" w:rsidRPr="00220394" w:rsidRDefault="00546B1F">
            <w:pPr>
              <w:spacing w:line="360" w:lineRule="auto"/>
              <w:jc w:val="center"/>
              <w:rPr>
                <w:rFonts w:ascii="Helvetica" w:eastAsia="Helvetica Neue" w:hAnsi="Helvetica" w:cs="Helvetica"/>
                <w:b/>
              </w:rPr>
            </w:pPr>
            <w:r w:rsidRPr="00220394">
              <w:rPr>
                <w:rFonts w:ascii="Helvetica" w:eastAsia="Arial" w:hAnsi="Helvetica" w:cs="Helvetica"/>
                <w:b/>
                <w:sz w:val="20"/>
                <w:szCs w:val="20"/>
              </w:rPr>
              <w:t>38</w:t>
            </w:r>
          </w:p>
        </w:tc>
      </w:tr>
    </w:tbl>
    <w:p w14:paraId="68021E1C" w14:textId="77777777" w:rsidR="00AA714E" w:rsidRPr="00220394" w:rsidRDefault="00546B1F">
      <w:pPr>
        <w:spacing w:line="360" w:lineRule="auto"/>
        <w:jc w:val="center"/>
        <w:rPr>
          <w:rFonts w:ascii="Helvetica" w:eastAsia="Helvetica Neue" w:hAnsi="Helvetica" w:cs="Helvetica"/>
          <w:sz w:val="12"/>
          <w:szCs w:val="12"/>
        </w:rPr>
      </w:pPr>
      <w:r w:rsidRPr="00220394">
        <w:rPr>
          <w:rFonts w:ascii="Helvetica" w:eastAsia="Helvetica Neue" w:hAnsi="Helvetica" w:cs="Helvetica"/>
          <w:b/>
          <w:sz w:val="18"/>
          <w:szCs w:val="18"/>
        </w:rPr>
        <w:t>Fuente:</w:t>
      </w:r>
      <w:r w:rsidRPr="00220394">
        <w:rPr>
          <w:rFonts w:ascii="Helvetica" w:eastAsia="Helvetica Neue" w:hAnsi="Helvetica" w:cs="Helvetica"/>
          <w:sz w:val="18"/>
          <w:szCs w:val="18"/>
        </w:rPr>
        <w:t xml:space="preserve"> Elaborado con base en la información de archivo del INE.</w:t>
      </w:r>
    </w:p>
    <w:p w14:paraId="344A0259" w14:textId="77777777" w:rsidR="00AA714E" w:rsidRPr="00220394" w:rsidRDefault="00AA714E">
      <w:pPr>
        <w:spacing w:line="360" w:lineRule="auto"/>
        <w:rPr>
          <w:rFonts w:ascii="Helvetica" w:eastAsia="Helvetica Neue" w:hAnsi="Helvetica" w:cs="Helvetica"/>
          <w:b/>
        </w:rPr>
      </w:pPr>
    </w:p>
    <w:p w14:paraId="1648D292" w14:textId="77777777" w:rsidR="00AA714E" w:rsidRPr="00220394" w:rsidRDefault="00546B1F">
      <w:pPr>
        <w:spacing w:line="360" w:lineRule="auto"/>
        <w:jc w:val="both"/>
        <w:rPr>
          <w:rFonts w:ascii="Helvetica" w:eastAsia="Helvetica Neue" w:hAnsi="Helvetica" w:cs="Helvetica"/>
          <w:b/>
          <w:sz w:val="34"/>
          <w:szCs w:val="34"/>
        </w:rPr>
      </w:pPr>
      <w:proofErr w:type="gramStart"/>
      <w:r w:rsidRPr="00220394">
        <w:rPr>
          <w:rFonts w:ascii="Helvetica" w:eastAsia="Helvetica Neue" w:hAnsi="Helvetica" w:cs="Helvetica"/>
          <w:b/>
          <w:sz w:val="34"/>
          <w:szCs w:val="34"/>
        </w:rPr>
        <w:t>Cargos a elegir</w:t>
      </w:r>
      <w:proofErr w:type="gramEnd"/>
      <w:r w:rsidRPr="00220394">
        <w:rPr>
          <w:rFonts w:ascii="Helvetica" w:eastAsia="Helvetica Neue" w:hAnsi="Helvetica" w:cs="Helvetica"/>
          <w:b/>
          <w:sz w:val="34"/>
          <w:szCs w:val="34"/>
        </w:rPr>
        <w:t xml:space="preserve"> y fechas relevantes</w:t>
      </w:r>
    </w:p>
    <w:p w14:paraId="02C2F466" w14:textId="084BF31F" w:rsidR="00AA714E" w:rsidRPr="00220394" w:rsidRDefault="00546B1F">
      <w:pPr>
        <w:spacing w:line="360" w:lineRule="auto"/>
        <w:jc w:val="both"/>
        <w:rPr>
          <w:rFonts w:ascii="Helvetica" w:eastAsia="Helvetica Neue" w:hAnsi="Helvetica" w:cs="Helvetica"/>
          <w:b/>
        </w:rPr>
      </w:pPr>
      <w:r w:rsidRPr="00220394">
        <w:rPr>
          <w:rFonts w:ascii="Helvetica" w:eastAsia="Helvetica Neue" w:hAnsi="Helvetica" w:cs="Helvetica"/>
        </w:rPr>
        <w:t xml:space="preserve">A continuación, en la tabla 2 se desagrega el número de cargos a elegir para cada </w:t>
      </w:r>
      <w:r w:rsidR="00220394">
        <w:rPr>
          <w:rFonts w:ascii="Helvetica" w:eastAsia="Helvetica Neue" w:hAnsi="Helvetica" w:cs="Helvetica"/>
        </w:rPr>
        <w:t>municipio</w:t>
      </w:r>
      <w:r w:rsidRPr="00220394">
        <w:rPr>
          <w:rFonts w:ascii="Helvetica" w:eastAsia="Helvetica Neue" w:hAnsi="Helvetica" w:cs="Helvetica"/>
        </w:rPr>
        <w:t>:</w:t>
      </w:r>
    </w:p>
    <w:p w14:paraId="0C2699DE" w14:textId="67104183" w:rsidR="00AA714E" w:rsidRPr="00220394" w:rsidRDefault="00546B1F">
      <w:pPr>
        <w:jc w:val="center"/>
        <w:rPr>
          <w:rFonts w:ascii="Helvetica" w:eastAsia="Helvetica Neue" w:hAnsi="Helvetica" w:cs="Helvetica"/>
          <w:b/>
        </w:rPr>
      </w:pPr>
      <w:r w:rsidRPr="00220394">
        <w:rPr>
          <w:rFonts w:ascii="Helvetica" w:eastAsia="Helvetica Neue" w:hAnsi="Helvetica" w:cs="Helvetica"/>
          <w:b/>
        </w:rPr>
        <w:t xml:space="preserve">Tabla 2. </w:t>
      </w:r>
      <w:proofErr w:type="gramStart"/>
      <w:r w:rsidRPr="00220394">
        <w:rPr>
          <w:rFonts w:ascii="Helvetica" w:eastAsia="Helvetica Neue" w:hAnsi="Helvetica" w:cs="Helvetica"/>
          <w:b/>
        </w:rPr>
        <w:t>Cargos a elegir</w:t>
      </w:r>
      <w:proofErr w:type="gramEnd"/>
      <w:r w:rsidRPr="00220394">
        <w:rPr>
          <w:rFonts w:ascii="Helvetica" w:eastAsia="Helvetica Neue" w:hAnsi="Helvetica" w:cs="Helvetica"/>
          <w:b/>
        </w:rPr>
        <w:t xml:space="preserve"> por </w:t>
      </w:r>
      <w:r w:rsidR="00220394">
        <w:rPr>
          <w:rFonts w:ascii="Helvetica" w:eastAsia="Helvetica Neue" w:hAnsi="Helvetica" w:cs="Helvetica"/>
          <w:b/>
        </w:rPr>
        <w:t>municipio</w:t>
      </w:r>
      <w:r w:rsidRPr="00220394">
        <w:rPr>
          <w:rFonts w:ascii="Helvetica" w:eastAsia="Helvetica Neue" w:hAnsi="Helvetica" w:cs="Helvetica"/>
          <w:b/>
        </w:rPr>
        <w:t xml:space="preserve"> </w:t>
      </w:r>
    </w:p>
    <w:p w14:paraId="3FE97E97" w14:textId="77777777" w:rsidR="00AA714E" w:rsidRPr="00220394" w:rsidRDefault="00AA714E">
      <w:pPr>
        <w:rPr>
          <w:rFonts w:ascii="Helvetica" w:eastAsia="Helvetica Neue" w:hAnsi="Helvetica" w:cs="Helvetica"/>
          <w:b/>
        </w:rPr>
      </w:pPr>
    </w:p>
    <w:tbl>
      <w:tblPr>
        <w:tblW w:w="8503"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600"/>
        <w:gridCol w:w="1357"/>
        <w:gridCol w:w="1500"/>
        <w:gridCol w:w="1304"/>
        <w:gridCol w:w="1330"/>
        <w:gridCol w:w="1304"/>
        <w:gridCol w:w="1108"/>
      </w:tblGrid>
      <w:tr w:rsidR="00AA714E" w:rsidRPr="00220394" w14:paraId="440EF232" w14:textId="77777777">
        <w:trPr>
          <w:trHeight w:val="970"/>
          <w:jc w:val="center"/>
        </w:trPr>
        <w:tc>
          <w:tcPr>
            <w:tcW w:w="599"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7BAA4660"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color w:val="FFFFFF"/>
                <w:sz w:val="20"/>
                <w:szCs w:val="20"/>
              </w:rPr>
              <w:t>No.</w:t>
            </w:r>
          </w:p>
        </w:tc>
        <w:tc>
          <w:tcPr>
            <w:tcW w:w="1356"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4E5AD87F" w14:textId="33CF1B6B" w:rsidR="00AA714E" w:rsidRPr="00220394" w:rsidRDefault="00220394">
            <w:pPr>
              <w:jc w:val="center"/>
              <w:rPr>
                <w:rFonts w:ascii="Helvetica" w:eastAsia="Helvetica Neue" w:hAnsi="Helvetica" w:cs="Helvetica"/>
                <w:b/>
              </w:rPr>
            </w:pPr>
            <w:r>
              <w:rPr>
                <w:rFonts w:ascii="Helvetica" w:eastAsia="Arial" w:hAnsi="Helvetica" w:cs="Helvetica"/>
                <w:b/>
                <w:color w:val="FFFFFF"/>
                <w:sz w:val="20"/>
                <w:szCs w:val="20"/>
              </w:rPr>
              <w:t>municipio</w:t>
            </w:r>
            <w:r w:rsidR="00546B1F" w:rsidRPr="00220394">
              <w:rPr>
                <w:rFonts w:ascii="Helvetica" w:eastAsia="Arial" w:hAnsi="Helvetica" w:cs="Helvetica"/>
                <w:b/>
                <w:color w:val="FFFFFF"/>
                <w:sz w:val="20"/>
                <w:szCs w:val="20"/>
              </w:rPr>
              <w:t xml:space="preserve"> / Distrito</w:t>
            </w:r>
          </w:p>
        </w:tc>
        <w:tc>
          <w:tcPr>
            <w:tcW w:w="1499"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0E30514A"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color w:val="FFFFFF"/>
                <w:sz w:val="20"/>
                <w:szCs w:val="20"/>
              </w:rPr>
              <w:t>Presidencias</w:t>
            </w:r>
          </w:p>
        </w:tc>
        <w:tc>
          <w:tcPr>
            <w:tcW w:w="1304"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6EAB2C7E"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color w:val="FFFFFF"/>
                <w:sz w:val="20"/>
                <w:szCs w:val="20"/>
              </w:rPr>
              <w:t>Sindicaturas (MR)</w:t>
            </w:r>
          </w:p>
        </w:tc>
        <w:tc>
          <w:tcPr>
            <w:tcW w:w="1330"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37D6C8D9"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color w:val="FFFFFF"/>
                <w:sz w:val="20"/>
                <w:szCs w:val="20"/>
              </w:rPr>
              <w:t>Regidurías (MR)</w:t>
            </w:r>
          </w:p>
        </w:tc>
        <w:tc>
          <w:tcPr>
            <w:tcW w:w="1304"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45E3F609"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color w:val="FFFFFF"/>
                <w:sz w:val="20"/>
                <w:szCs w:val="20"/>
              </w:rPr>
              <w:t>Regidurías (RP)</w:t>
            </w:r>
          </w:p>
        </w:tc>
        <w:tc>
          <w:tcPr>
            <w:tcW w:w="1108" w:type="dxa"/>
            <w:vMerge w:val="restart"/>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5562A2DE"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color w:val="FFFFFF"/>
                <w:sz w:val="20"/>
                <w:szCs w:val="20"/>
              </w:rPr>
              <w:t>Total</w:t>
            </w:r>
          </w:p>
        </w:tc>
      </w:tr>
      <w:tr w:rsidR="00AA714E" w:rsidRPr="00220394" w14:paraId="68646C38" w14:textId="77777777" w:rsidTr="00D97CDD">
        <w:trPr>
          <w:trHeight w:val="288"/>
          <w:jc w:val="center"/>
        </w:trPr>
        <w:tc>
          <w:tcPr>
            <w:tcW w:w="599"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C6E2FF3" w14:textId="77777777" w:rsidR="00AA714E" w:rsidRPr="00220394" w:rsidRDefault="00AA714E">
            <w:pPr>
              <w:rPr>
                <w:rFonts w:ascii="Helvetica" w:eastAsia="Helvetica Neue" w:hAnsi="Helvetica" w:cs="Helvetica"/>
                <w:b/>
              </w:rPr>
            </w:pPr>
          </w:p>
        </w:tc>
        <w:tc>
          <w:tcPr>
            <w:tcW w:w="1356"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A323133" w14:textId="77777777" w:rsidR="00AA714E" w:rsidRPr="00220394" w:rsidRDefault="00AA714E">
            <w:pPr>
              <w:widowControl w:val="0"/>
              <w:pBdr>
                <w:top w:val="nil"/>
                <w:left w:val="nil"/>
                <w:bottom w:val="nil"/>
                <w:right w:val="nil"/>
                <w:between w:val="nil"/>
              </w:pBdr>
              <w:spacing w:line="276" w:lineRule="auto"/>
              <w:rPr>
                <w:rFonts w:ascii="Helvetica" w:eastAsia="Helvetica Neue" w:hAnsi="Helvetica" w:cs="Helvetica"/>
                <w:b/>
              </w:rPr>
            </w:pPr>
          </w:p>
        </w:tc>
        <w:tc>
          <w:tcPr>
            <w:tcW w:w="1499"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72966D02" w14:textId="77777777" w:rsidR="00AA714E" w:rsidRPr="00220394" w:rsidRDefault="00AA714E">
            <w:pPr>
              <w:widowControl w:val="0"/>
              <w:pBdr>
                <w:top w:val="nil"/>
                <w:left w:val="nil"/>
                <w:bottom w:val="nil"/>
                <w:right w:val="nil"/>
                <w:between w:val="nil"/>
              </w:pBdr>
              <w:spacing w:line="276" w:lineRule="auto"/>
              <w:rPr>
                <w:rFonts w:ascii="Helvetica" w:eastAsia="Helvetica Neue" w:hAnsi="Helvetica" w:cs="Helvetica"/>
                <w:b/>
              </w:rPr>
            </w:pPr>
          </w:p>
        </w:tc>
        <w:tc>
          <w:tcPr>
            <w:tcW w:w="130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0FE0CCC2" w14:textId="77777777" w:rsidR="00AA714E" w:rsidRPr="00220394" w:rsidRDefault="00AA714E">
            <w:pPr>
              <w:widowControl w:val="0"/>
              <w:pBdr>
                <w:top w:val="nil"/>
                <w:left w:val="nil"/>
                <w:bottom w:val="nil"/>
                <w:right w:val="nil"/>
                <w:between w:val="nil"/>
              </w:pBdr>
              <w:spacing w:line="276" w:lineRule="auto"/>
              <w:rPr>
                <w:rFonts w:ascii="Helvetica" w:eastAsia="Helvetica Neue" w:hAnsi="Helvetica" w:cs="Helvetica"/>
                <w:b/>
              </w:rPr>
            </w:pPr>
          </w:p>
        </w:tc>
        <w:tc>
          <w:tcPr>
            <w:tcW w:w="1330"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3E1BD8A9" w14:textId="77777777" w:rsidR="00AA714E" w:rsidRPr="00220394" w:rsidRDefault="00AA714E">
            <w:pPr>
              <w:widowControl w:val="0"/>
              <w:pBdr>
                <w:top w:val="nil"/>
                <w:left w:val="nil"/>
                <w:bottom w:val="nil"/>
                <w:right w:val="nil"/>
                <w:between w:val="nil"/>
              </w:pBdr>
              <w:spacing w:line="276" w:lineRule="auto"/>
              <w:rPr>
                <w:rFonts w:ascii="Helvetica" w:eastAsia="Helvetica Neue" w:hAnsi="Helvetica" w:cs="Helvetica"/>
                <w:b/>
              </w:rPr>
            </w:pPr>
          </w:p>
        </w:tc>
        <w:tc>
          <w:tcPr>
            <w:tcW w:w="1304"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4D53AF59" w14:textId="77777777" w:rsidR="00AA714E" w:rsidRPr="00220394" w:rsidRDefault="00AA714E">
            <w:pPr>
              <w:widowControl w:val="0"/>
              <w:pBdr>
                <w:top w:val="nil"/>
                <w:left w:val="nil"/>
                <w:bottom w:val="nil"/>
                <w:right w:val="nil"/>
                <w:between w:val="nil"/>
              </w:pBdr>
              <w:spacing w:line="276" w:lineRule="auto"/>
              <w:rPr>
                <w:rFonts w:ascii="Helvetica" w:eastAsia="Helvetica Neue" w:hAnsi="Helvetica" w:cs="Helvetica"/>
                <w:b/>
              </w:rPr>
            </w:pPr>
          </w:p>
        </w:tc>
        <w:tc>
          <w:tcPr>
            <w:tcW w:w="1108" w:type="dxa"/>
            <w:vMerge/>
            <w:tcBorders>
              <w:bottom w:val="single" w:sz="6" w:space="0" w:color="000000"/>
              <w:right w:val="single" w:sz="6" w:space="0" w:color="000000"/>
            </w:tcBorders>
            <w:shd w:val="clear" w:color="auto" w:fill="auto"/>
            <w:tcMar>
              <w:top w:w="100" w:type="dxa"/>
              <w:left w:w="100" w:type="dxa"/>
              <w:bottom w:w="100" w:type="dxa"/>
              <w:right w:w="100" w:type="dxa"/>
            </w:tcMar>
          </w:tcPr>
          <w:p w14:paraId="1E7ACF03" w14:textId="77777777" w:rsidR="00AA714E" w:rsidRPr="00220394" w:rsidRDefault="00AA714E">
            <w:pPr>
              <w:widowControl w:val="0"/>
              <w:pBdr>
                <w:top w:val="nil"/>
                <w:left w:val="nil"/>
                <w:bottom w:val="nil"/>
                <w:right w:val="nil"/>
                <w:between w:val="nil"/>
              </w:pBdr>
              <w:spacing w:line="276" w:lineRule="auto"/>
              <w:rPr>
                <w:rFonts w:ascii="Helvetica" w:eastAsia="Helvetica Neue" w:hAnsi="Helvetica" w:cs="Helvetica"/>
                <w:b/>
              </w:rPr>
            </w:pPr>
          </w:p>
        </w:tc>
      </w:tr>
      <w:tr w:rsidR="00AA714E" w:rsidRPr="00220394" w14:paraId="364A7A17" w14:textId="77777777">
        <w:trPr>
          <w:trHeight w:val="415"/>
          <w:jc w:val="center"/>
        </w:trPr>
        <w:tc>
          <w:tcPr>
            <w:tcW w:w="599"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6F98A125"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1</w:t>
            </w:r>
          </w:p>
        </w:tc>
        <w:tc>
          <w:tcPr>
            <w:tcW w:w="1356"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4D6AEB7F"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Atlautla</w:t>
            </w:r>
          </w:p>
        </w:tc>
        <w:tc>
          <w:tcPr>
            <w:tcW w:w="1499"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19D94613"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1</w:t>
            </w:r>
          </w:p>
        </w:tc>
        <w:tc>
          <w:tcPr>
            <w:tcW w:w="1304"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3F61FFB3"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1</w:t>
            </w:r>
          </w:p>
        </w:tc>
        <w:tc>
          <w:tcPr>
            <w:tcW w:w="133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2D9B43BB"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4</w:t>
            </w:r>
          </w:p>
        </w:tc>
        <w:tc>
          <w:tcPr>
            <w:tcW w:w="1304"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38821E46"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3</w:t>
            </w:r>
          </w:p>
        </w:tc>
        <w:tc>
          <w:tcPr>
            <w:tcW w:w="1108"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72D025E3" w14:textId="77777777" w:rsidR="00AA714E" w:rsidRPr="00220394" w:rsidRDefault="00546B1F">
            <w:pPr>
              <w:jc w:val="center"/>
              <w:rPr>
                <w:rFonts w:ascii="Helvetica" w:eastAsia="Helvetica Neue" w:hAnsi="Helvetica" w:cs="Helvetica"/>
                <w:b/>
              </w:rPr>
            </w:pPr>
            <w:r w:rsidRPr="00220394">
              <w:rPr>
                <w:rFonts w:ascii="Helvetica" w:eastAsia="Arial" w:hAnsi="Helvetica" w:cs="Helvetica"/>
                <w:b/>
                <w:sz w:val="20"/>
                <w:szCs w:val="20"/>
              </w:rPr>
              <w:t>9</w:t>
            </w:r>
          </w:p>
        </w:tc>
      </w:tr>
    </w:tbl>
    <w:p w14:paraId="623A8B50" w14:textId="77777777" w:rsidR="00AA714E" w:rsidRPr="00220394" w:rsidRDefault="00AA714E">
      <w:pPr>
        <w:rPr>
          <w:rFonts w:ascii="Helvetica" w:eastAsia="Helvetica Neue" w:hAnsi="Helvetica" w:cs="Helvetica"/>
          <w:b/>
        </w:rPr>
      </w:pPr>
    </w:p>
    <w:p w14:paraId="7AFF566C" w14:textId="77777777" w:rsidR="00AA714E" w:rsidRPr="00220394" w:rsidRDefault="00546B1F">
      <w:pPr>
        <w:spacing w:line="360" w:lineRule="auto"/>
        <w:jc w:val="center"/>
        <w:rPr>
          <w:rFonts w:ascii="Helvetica" w:eastAsia="Helvetica Neue" w:hAnsi="Helvetica" w:cs="Helvetica"/>
        </w:rPr>
      </w:pPr>
      <w:r w:rsidRPr="00220394">
        <w:rPr>
          <w:rFonts w:ascii="Helvetica" w:eastAsia="Helvetica Neue" w:hAnsi="Helvetica" w:cs="Helvetica"/>
          <w:b/>
          <w:sz w:val="20"/>
          <w:szCs w:val="20"/>
        </w:rPr>
        <w:t>Fuente</w:t>
      </w:r>
      <w:r w:rsidRPr="00220394">
        <w:rPr>
          <w:rFonts w:ascii="Helvetica" w:eastAsia="Helvetica Neue" w:hAnsi="Helvetica" w:cs="Helvetica"/>
          <w:sz w:val="20"/>
          <w:szCs w:val="20"/>
        </w:rPr>
        <w:t>: Elaboración con base en la información proporcionada por los OPL</w:t>
      </w:r>
    </w:p>
    <w:p w14:paraId="30A36FB0" w14:textId="77777777" w:rsidR="00AA714E" w:rsidRPr="00220394" w:rsidRDefault="00AA714E">
      <w:pPr>
        <w:spacing w:line="360" w:lineRule="auto"/>
        <w:rPr>
          <w:rFonts w:ascii="Helvetica" w:eastAsia="Helvetica Neue" w:hAnsi="Helvetica" w:cs="Helvetica"/>
          <w:sz w:val="12"/>
          <w:szCs w:val="12"/>
        </w:rPr>
      </w:pPr>
    </w:p>
    <w:p w14:paraId="09006F8F" w14:textId="26F5389A" w:rsidR="00AA714E" w:rsidRPr="00220394" w:rsidRDefault="00546B1F">
      <w:pPr>
        <w:spacing w:before="200" w:line="360" w:lineRule="auto"/>
        <w:ind w:firstLine="720"/>
        <w:jc w:val="both"/>
        <w:rPr>
          <w:rFonts w:ascii="Helvetica" w:eastAsia="Helvetica Neue" w:hAnsi="Helvetica" w:cs="Helvetica"/>
        </w:rPr>
      </w:pPr>
      <w:r w:rsidRPr="00220394">
        <w:rPr>
          <w:rFonts w:ascii="Helvetica" w:eastAsia="Helvetica Neue" w:hAnsi="Helvetica" w:cs="Helvetica"/>
        </w:rPr>
        <w:t>Por ser elección extraordinaria, los plazos se reducen y se ajustan para desarrollar actividades que son esenciales como la elaboración y difusión de la convocatoria para candidaturas independientes, precampañas</w:t>
      </w:r>
      <w:r w:rsidR="00B81BD9">
        <w:rPr>
          <w:rFonts w:ascii="Helvetica" w:eastAsia="Helvetica Neue" w:hAnsi="Helvetica" w:cs="Helvetica"/>
        </w:rPr>
        <w:t xml:space="preserve"> y </w:t>
      </w:r>
      <w:r w:rsidRPr="00220394">
        <w:rPr>
          <w:rFonts w:ascii="Helvetica" w:eastAsia="Helvetica Neue" w:hAnsi="Helvetica" w:cs="Helvetica"/>
        </w:rPr>
        <w:t>campañas. A continuación, se describen algunas fechas relevantes del Proceso Electoral Local Extraordinario.</w:t>
      </w:r>
    </w:p>
    <w:p w14:paraId="70C47266" w14:textId="28892079" w:rsidR="00AA714E" w:rsidRPr="00220394" w:rsidRDefault="00546B1F">
      <w:pPr>
        <w:spacing w:before="200" w:line="360" w:lineRule="auto"/>
        <w:ind w:firstLine="720"/>
        <w:jc w:val="both"/>
        <w:rPr>
          <w:rFonts w:ascii="Helvetica" w:eastAsia="Helvetica Neue" w:hAnsi="Helvetica" w:cs="Helvetica"/>
        </w:rPr>
      </w:pPr>
      <w:r w:rsidRPr="00220394">
        <w:rPr>
          <w:rFonts w:ascii="Helvetica" w:eastAsia="Helvetica Neue" w:hAnsi="Helvetica" w:cs="Helvetica"/>
        </w:rPr>
        <w:t>El Proceso Electoral inici</w:t>
      </w:r>
      <w:r w:rsidR="00B009DB">
        <w:rPr>
          <w:rFonts w:ascii="Helvetica" w:eastAsia="Helvetica Neue" w:hAnsi="Helvetica" w:cs="Helvetica"/>
        </w:rPr>
        <w:t>ó</w:t>
      </w:r>
      <w:r w:rsidRPr="00220394">
        <w:rPr>
          <w:rFonts w:ascii="Helvetica" w:eastAsia="Helvetica Neue" w:hAnsi="Helvetica" w:cs="Helvetica"/>
        </w:rPr>
        <w:t xml:space="preserve"> el 14 de marzo de 2022; el periodo para la obtención del apoyo de la ciudadanía será del 2 al 9 de abril; las precampañas tendrán una duración de 8 días y se realizarán del 11 al 18 de abril; la solicitud del registro de candidaturas será del 20 al 23 de abril; la aprobación del registro </w:t>
      </w:r>
      <w:r w:rsidRPr="00220394">
        <w:rPr>
          <w:rFonts w:ascii="Helvetica" w:eastAsia="Helvetica Neue" w:hAnsi="Helvetica" w:cs="Helvetica"/>
        </w:rPr>
        <w:lastRenderedPageBreak/>
        <w:t>de candidaturas sucederá el 26 de abril; las campañas electorales tendrán una duración de 15 días, por lo que serán realizadas entre el 27 de abril y 11 de mayo; la Jornada Electoral se llevará a cabo el 15 de mayo; y, los Cómputos Municipales iniciarán el miércoles 18 de mayo y, a más tardar, concluyen el 21 de mayo. La tabla 3 presenta las fechas relevantes del Proceso Electoral Local Extraordinario:</w:t>
      </w:r>
    </w:p>
    <w:p w14:paraId="3B65AEC3" w14:textId="77777777" w:rsidR="00AA714E" w:rsidRPr="00220394" w:rsidRDefault="00AA714E">
      <w:pPr>
        <w:spacing w:line="360" w:lineRule="auto"/>
        <w:jc w:val="both"/>
        <w:rPr>
          <w:rFonts w:ascii="Helvetica" w:eastAsia="Helvetica Neue" w:hAnsi="Helvetica" w:cs="Helvetica"/>
          <w:b/>
          <w:sz w:val="12"/>
          <w:szCs w:val="12"/>
        </w:rPr>
      </w:pPr>
    </w:p>
    <w:p w14:paraId="46EE447C" w14:textId="77777777" w:rsidR="00AA714E" w:rsidRPr="00220394" w:rsidRDefault="00546B1F">
      <w:pPr>
        <w:jc w:val="both"/>
        <w:rPr>
          <w:rFonts w:ascii="Helvetica" w:eastAsia="Helvetica Neue" w:hAnsi="Helvetica" w:cs="Helvetica"/>
          <w:b/>
        </w:rPr>
      </w:pPr>
      <w:r w:rsidRPr="00220394">
        <w:rPr>
          <w:rFonts w:ascii="Helvetica" w:eastAsia="Helvetica Neue" w:hAnsi="Helvetica" w:cs="Helvetica"/>
          <w:b/>
        </w:rPr>
        <w:t>Tabla 3. Fechas relevantes del Proceso Electoral Local Extraordinario en Atlautla, Estado de México</w:t>
      </w:r>
    </w:p>
    <w:p w14:paraId="3DC61420" w14:textId="77777777" w:rsidR="00AA714E" w:rsidRPr="00220394" w:rsidRDefault="00AA714E">
      <w:pPr>
        <w:spacing w:line="360" w:lineRule="auto"/>
        <w:jc w:val="center"/>
        <w:rPr>
          <w:rFonts w:ascii="Helvetica" w:eastAsia="Helvetica Neue" w:hAnsi="Helvetica" w:cs="Helvetica"/>
          <w:b/>
          <w:sz w:val="20"/>
          <w:szCs w:val="20"/>
        </w:rPr>
      </w:pPr>
    </w:p>
    <w:tbl>
      <w:tblPr>
        <w:tblW w:w="6975" w:type="dxa"/>
        <w:jc w:val="center"/>
        <w:tblBorders>
          <w:top w:val="nil"/>
          <w:left w:val="nil"/>
          <w:bottom w:val="nil"/>
          <w:right w:val="nil"/>
          <w:insideH w:val="nil"/>
          <w:insideV w:val="nil"/>
        </w:tblBorders>
        <w:tblLayout w:type="fixed"/>
        <w:tblCellMar>
          <w:top w:w="100" w:type="dxa"/>
          <w:left w:w="100" w:type="dxa"/>
          <w:bottom w:w="100" w:type="dxa"/>
          <w:right w:w="100" w:type="dxa"/>
        </w:tblCellMar>
        <w:tblLook w:val="0600" w:firstRow="0" w:lastRow="0" w:firstColumn="0" w:lastColumn="0" w:noHBand="1" w:noVBand="1"/>
      </w:tblPr>
      <w:tblGrid>
        <w:gridCol w:w="3555"/>
        <w:gridCol w:w="1620"/>
        <w:gridCol w:w="1800"/>
      </w:tblGrid>
      <w:tr w:rsidR="00AA714E" w:rsidRPr="00220394" w14:paraId="433A6354" w14:textId="77777777">
        <w:trPr>
          <w:trHeight w:val="655"/>
          <w:jc w:val="center"/>
        </w:trPr>
        <w:tc>
          <w:tcPr>
            <w:tcW w:w="3555" w:type="dxa"/>
            <w:tcBorders>
              <w:top w:val="single" w:sz="6" w:space="0" w:color="000000"/>
              <w:left w:val="single" w:sz="6" w:space="0" w:color="000000"/>
              <w:bottom w:val="single" w:sz="6" w:space="0" w:color="000000"/>
              <w:right w:val="single" w:sz="6" w:space="0" w:color="000000"/>
            </w:tcBorders>
            <w:shd w:val="clear" w:color="auto" w:fill="ED0089"/>
            <w:tcMar>
              <w:top w:w="20" w:type="dxa"/>
              <w:left w:w="20" w:type="dxa"/>
              <w:bottom w:w="100" w:type="dxa"/>
              <w:right w:w="20" w:type="dxa"/>
            </w:tcMar>
            <w:vAlign w:val="center"/>
          </w:tcPr>
          <w:p w14:paraId="72FEE99C"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color w:val="FFFFFF"/>
                <w:sz w:val="22"/>
                <w:szCs w:val="22"/>
              </w:rPr>
              <w:t>Fechas relevantes</w:t>
            </w:r>
          </w:p>
        </w:tc>
        <w:tc>
          <w:tcPr>
            <w:tcW w:w="1620" w:type="dxa"/>
            <w:tcBorders>
              <w:top w:val="single" w:sz="6" w:space="0" w:color="000000"/>
              <w:left w:val="nil"/>
              <w:bottom w:val="single" w:sz="6" w:space="0" w:color="000000"/>
              <w:right w:val="single" w:sz="6" w:space="0" w:color="000000"/>
            </w:tcBorders>
            <w:shd w:val="clear" w:color="auto" w:fill="ED0089"/>
            <w:tcMar>
              <w:top w:w="20" w:type="dxa"/>
              <w:left w:w="20" w:type="dxa"/>
              <w:bottom w:w="100" w:type="dxa"/>
              <w:right w:w="20" w:type="dxa"/>
            </w:tcMar>
            <w:vAlign w:val="center"/>
          </w:tcPr>
          <w:p w14:paraId="38550BA5"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color w:val="FFFFFF"/>
                <w:sz w:val="22"/>
                <w:szCs w:val="22"/>
              </w:rPr>
              <w:t>Inicio</w:t>
            </w:r>
          </w:p>
        </w:tc>
        <w:tc>
          <w:tcPr>
            <w:tcW w:w="1800" w:type="dxa"/>
            <w:tcBorders>
              <w:top w:val="single" w:sz="6" w:space="0" w:color="000000"/>
              <w:left w:val="nil"/>
              <w:bottom w:val="single" w:sz="6" w:space="0" w:color="000000"/>
              <w:right w:val="single" w:sz="6" w:space="0" w:color="000000"/>
            </w:tcBorders>
            <w:shd w:val="clear" w:color="auto" w:fill="ED0089"/>
            <w:tcMar>
              <w:top w:w="20" w:type="dxa"/>
              <w:left w:w="20" w:type="dxa"/>
              <w:bottom w:w="100" w:type="dxa"/>
              <w:right w:w="20" w:type="dxa"/>
            </w:tcMar>
            <w:vAlign w:val="center"/>
          </w:tcPr>
          <w:p w14:paraId="31AC8A17"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color w:val="FFFFFF"/>
                <w:sz w:val="22"/>
                <w:szCs w:val="22"/>
              </w:rPr>
              <w:t>Término</w:t>
            </w:r>
          </w:p>
        </w:tc>
      </w:tr>
      <w:tr w:rsidR="00AA714E" w:rsidRPr="00220394" w14:paraId="1965052E" w14:textId="77777777">
        <w:trPr>
          <w:trHeight w:val="415"/>
          <w:jc w:val="center"/>
        </w:trPr>
        <w:tc>
          <w:tcPr>
            <w:tcW w:w="3555" w:type="dxa"/>
            <w:tcBorders>
              <w:top w:val="nil"/>
              <w:left w:val="single" w:sz="6" w:space="0" w:color="000000"/>
              <w:bottom w:val="single" w:sz="6" w:space="0" w:color="000000"/>
              <w:right w:val="single" w:sz="6" w:space="0" w:color="000000"/>
            </w:tcBorders>
            <w:tcMar>
              <w:top w:w="20" w:type="dxa"/>
              <w:left w:w="20" w:type="dxa"/>
              <w:bottom w:w="100" w:type="dxa"/>
              <w:right w:w="20" w:type="dxa"/>
            </w:tcMar>
            <w:vAlign w:val="center"/>
          </w:tcPr>
          <w:p w14:paraId="32017897"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Inicio de Proceso Electoral</w:t>
            </w:r>
          </w:p>
        </w:tc>
        <w:tc>
          <w:tcPr>
            <w:tcW w:w="3420" w:type="dxa"/>
            <w:gridSpan w:val="2"/>
            <w:tcBorders>
              <w:top w:val="single" w:sz="6" w:space="0" w:color="000000"/>
              <w:left w:val="nil"/>
              <w:bottom w:val="single" w:sz="6" w:space="0" w:color="000000"/>
              <w:right w:val="single" w:sz="6" w:space="0" w:color="000000"/>
            </w:tcBorders>
            <w:tcMar>
              <w:top w:w="20" w:type="dxa"/>
              <w:left w:w="20" w:type="dxa"/>
              <w:bottom w:w="100" w:type="dxa"/>
              <w:right w:w="20" w:type="dxa"/>
            </w:tcMar>
            <w:vAlign w:val="center"/>
          </w:tcPr>
          <w:p w14:paraId="7D7C01FB"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14/03/2022</w:t>
            </w:r>
          </w:p>
        </w:tc>
      </w:tr>
      <w:tr w:rsidR="00AA714E" w:rsidRPr="00220394" w14:paraId="002803DD" w14:textId="77777777">
        <w:trPr>
          <w:trHeight w:val="415"/>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53846716"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Apoyo de la ciudadanía</w:t>
            </w:r>
          </w:p>
        </w:tc>
        <w:tc>
          <w:tcPr>
            <w:tcW w:w="162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1973ABBC"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02/04/2022</w:t>
            </w:r>
          </w:p>
        </w:tc>
        <w:tc>
          <w:tcPr>
            <w:tcW w:w="180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058FFEA0"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09/04/2022</w:t>
            </w:r>
          </w:p>
        </w:tc>
      </w:tr>
      <w:tr w:rsidR="00AA714E" w:rsidRPr="00220394" w14:paraId="24B2E3B8" w14:textId="77777777">
        <w:trPr>
          <w:trHeight w:val="730"/>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1A28F08E"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Precampaña para Ayuntamientos</w:t>
            </w:r>
          </w:p>
        </w:tc>
        <w:tc>
          <w:tcPr>
            <w:tcW w:w="162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2FA14511"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11/04/2022</w:t>
            </w:r>
          </w:p>
        </w:tc>
        <w:tc>
          <w:tcPr>
            <w:tcW w:w="180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58E357F9"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18/04/2022</w:t>
            </w:r>
          </w:p>
        </w:tc>
      </w:tr>
      <w:tr w:rsidR="00AA714E" w:rsidRPr="00220394" w14:paraId="7641656D" w14:textId="77777777">
        <w:trPr>
          <w:trHeight w:val="730"/>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7DD6D1C5"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Solicitud de Registro de candidaturas</w:t>
            </w:r>
          </w:p>
        </w:tc>
        <w:tc>
          <w:tcPr>
            <w:tcW w:w="162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353A8128"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20/04/2022</w:t>
            </w:r>
          </w:p>
        </w:tc>
        <w:tc>
          <w:tcPr>
            <w:tcW w:w="180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2079A87C"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23/04/2022</w:t>
            </w:r>
          </w:p>
        </w:tc>
      </w:tr>
      <w:tr w:rsidR="00AA714E" w:rsidRPr="00220394" w14:paraId="6AFCC6A8" w14:textId="77777777">
        <w:trPr>
          <w:trHeight w:val="1060"/>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45DCF245"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Aprobación del Registro de candidaturas para Ayuntamientos</w:t>
            </w:r>
          </w:p>
        </w:tc>
        <w:tc>
          <w:tcPr>
            <w:tcW w:w="3420" w:type="dxa"/>
            <w:gridSpan w:val="2"/>
            <w:tcBorders>
              <w:top w:val="single" w:sz="6" w:space="0" w:color="000000"/>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48471BA8"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26/04/2022</w:t>
            </w:r>
          </w:p>
        </w:tc>
      </w:tr>
      <w:tr w:rsidR="00AA714E" w:rsidRPr="00220394" w14:paraId="72EA24AF" w14:textId="77777777">
        <w:trPr>
          <w:trHeight w:val="730"/>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7E5E17EF" w14:textId="471A73B4"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Campaña para Ayuntamientos   (15 días)</w:t>
            </w:r>
          </w:p>
        </w:tc>
        <w:tc>
          <w:tcPr>
            <w:tcW w:w="162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7AC9243B"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27/04/2022</w:t>
            </w:r>
          </w:p>
        </w:tc>
        <w:tc>
          <w:tcPr>
            <w:tcW w:w="180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117FE7BE"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11/05/2022</w:t>
            </w:r>
          </w:p>
        </w:tc>
      </w:tr>
      <w:tr w:rsidR="00AA714E" w:rsidRPr="00220394" w14:paraId="1A189488" w14:textId="77777777">
        <w:trPr>
          <w:trHeight w:val="415"/>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1B8E446A"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Jornada Electoral</w:t>
            </w:r>
          </w:p>
        </w:tc>
        <w:tc>
          <w:tcPr>
            <w:tcW w:w="3420" w:type="dxa"/>
            <w:gridSpan w:val="2"/>
            <w:tcBorders>
              <w:top w:val="single" w:sz="6" w:space="0" w:color="000000"/>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3BE34D48"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15/05/2022</w:t>
            </w:r>
          </w:p>
        </w:tc>
      </w:tr>
      <w:tr w:rsidR="00AA714E" w:rsidRPr="00220394" w14:paraId="6FF80342" w14:textId="77777777">
        <w:trPr>
          <w:trHeight w:val="415"/>
          <w:jc w:val="center"/>
        </w:trPr>
        <w:tc>
          <w:tcPr>
            <w:tcW w:w="3555" w:type="dxa"/>
            <w:tcBorders>
              <w:top w:val="nil"/>
              <w:left w:val="single" w:sz="6" w:space="0" w:color="000000"/>
              <w:bottom w:val="single" w:sz="6" w:space="0" w:color="000000"/>
              <w:right w:val="single" w:sz="6" w:space="0" w:color="000000"/>
            </w:tcBorders>
            <w:shd w:val="clear" w:color="auto" w:fill="auto"/>
            <w:tcMar>
              <w:top w:w="20" w:type="dxa"/>
              <w:left w:w="20" w:type="dxa"/>
              <w:bottom w:w="100" w:type="dxa"/>
              <w:right w:w="20" w:type="dxa"/>
            </w:tcMar>
            <w:vAlign w:val="center"/>
          </w:tcPr>
          <w:p w14:paraId="3C06E2EC" w14:textId="77777777" w:rsidR="00AA714E" w:rsidRPr="00220394" w:rsidRDefault="00546B1F">
            <w:pPr>
              <w:spacing w:line="360" w:lineRule="auto"/>
              <w:jc w:val="center"/>
              <w:rPr>
                <w:rFonts w:ascii="Helvetica" w:eastAsia="Helvetica Neue" w:hAnsi="Helvetica" w:cs="Helvetica"/>
                <w:b/>
                <w:sz w:val="20"/>
                <w:szCs w:val="20"/>
              </w:rPr>
            </w:pPr>
            <w:r w:rsidRPr="00220394">
              <w:rPr>
                <w:rFonts w:ascii="Helvetica" w:eastAsia="Arial" w:hAnsi="Helvetica" w:cs="Helvetica"/>
                <w:b/>
                <w:sz w:val="22"/>
                <w:szCs w:val="22"/>
              </w:rPr>
              <w:t>Cómputos municipales</w:t>
            </w:r>
          </w:p>
        </w:tc>
        <w:tc>
          <w:tcPr>
            <w:tcW w:w="162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6F3C5671"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18/05/2022</w:t>
            </w:r>
          </w:p>
        </w:tc>
        <w:tc>
          <w:tcPr>
            <w:tcW w:w="1800" w:type="dxa"/>
            <w:tcBorders>
              <w:top w:val="nil"/>
              <w:left w:val="nil"/>
              <w:bottom w:val="single" w:sz="6" w:space="0" w:color="000000"/>
              <w:right w:val="single" w:sz="6" w:space="0" w:color="000000"/>
            </w:tcBorders>
            <w:shd w:val="clear" w:color="auto" w:fill="auto"/>
            <w:tcMar>
              <w:top w:w="20" w:type="dxa"/>
              <w:left w:w="20" w:type="dxa"/>
              <w:bottom w:w="100" w:type="dxa"/>
              <w:right w:w="20" w:type="dxa"/>
            </w:tcMar>
            <w:vAlign w:val="center"/>
          </w:tcPr>
          <w:p w14:paraId="78CD1DAA" w14:textId="77777777" w:rsidR="00AA714E" w:rsidRPr="00220394" w:rsidRDefault="00546B1F">
            <w:pPr>
              <w:spacing w:line="360" w:lineRule="auto"/>
              <w:jc w:val="center"/>
              <w:rPr>
                <w:rFonts w:ascii="Helvetica" w:eastAsia="Helvetica Neue" w:hAnsi="Helvetica" w:cs="Helvetica"/>
                <w:sz w:val="20"/>
                <w:szCs w:val="20"/>
              </w:rPr>
            </w:pPr>
            <w:r w:rsidRPr="00220394">
              <w:rPr>
                <w:rFonts w:ascii="Helvetica" w:eastAsia="Helvetica Neue" w:hAnsi="Helvetica" w:cs="Helvetica"/>
                <w:sz w:val="20"/>
                <w:szCs w:val="20"/>
              </w:rPr>
              <w:t>21/05/2022</w:t>
            </w:r>
          </w:p>
        </w:tc>
      </w:tr>
    </w:tbl>
    <w:p w14:paraId="18A1E899" w14:textId="77777777" w:rsidR="00AA714E" w:rsidRPr="00220394" w:rsidRDefault="00546B1F">
      <w:pPr>
        <w:spacing w:line="360" w:lineRule="auto"/>
        <w:jc w:val="center"/>
        <w:rPr>
          <w:rFonts w:ascii="Helvetica" w:eastAsia="Helvetica Neue" w:hAnsi="Helvetica" w:cs="Helvetica"/>
          <w:sz w:val="12"/>
          <w:szCs w:val="12"/>
        </w:rPr>
      </w:pPr>
      <w:r w:rsidRPr="00220394">
        <w:rPr>
          <w:rFonts w:ascii="Helvetica" w:eastAsia="Helvetica Neue" w:hAnsi="Helvetica" w:cs="Helvetica"/>
          <w:b/>
          <w:sz w:val="20"/>
          <w:szCs w:val="20"/>
        </w:rPr>
        <w:t>Fuente</w:t>
      </w:r>
      <w:r w:rsidRPr="00220394">
        <w:rPr>
          <w:rFonts w:ascii="Helvetica" w:eastAsia="Helvetica Neue" w:hAnsi="Helvetica" w:cs="Helvetica"/>
          <w:sz w:val="20"/>
          <w:szCs w:val="20"/>
        </w:rPr>
        <w:t>: Elaboración con base en la información proporcionada por los OPL</w:t>
      </w:r>
    </w:p>
    <w:p w14:paraId="16650589" w14:textId="77777777" w:rsidR="00AA714E" w:rsidRPr="00220394" w:rsidRDefault="00AA714E">
      <w:pPr>
        <w:spacing w:line="360" w:lineRule="auto"/>
        <w:jc w:val="both"/>
        <w:rPr>
          <w:rFonts w:ascii="Helvetica" w:eastAsia="Helvetica Neue" w:hAnsi="Helvetica" w:cs="Helvetica"/>
        </w:rPr>
      </w:pPr>
    </w:p>
    <w:p w14:paraId="3C9204FA" w14:textId="77777777" w:rsidR="00AA714E" w:rsidRPr="00220394" w:rsidRDefault="00546B1F">
      <w:pPr>
        <w:rPr>
          <w:rFonts w:ascii="Helvetica" w:eastAsia="Helvetica Neue" w:hAnsi="Helvetica" w:cs="Helvetica"/>
          <w:b/>
          <w:sz w:val="46"/>
          <w:szCs w:val="46"/>
        </w:rPr>
      </w:pPr>
      <w:r w:rsidRPr="00220394">
        <w:rPr>
          <w:rFonts w:ascii="Helvetica" w:hAnsi="Helvetica" w:cs="Helvetica"/>
        </w:rPr>
        <w:br w:type="page"/>
      </w:r>
      <w:r w:rsidRPr="00220394">
        <w:rPr>
          <w:rFonts w:ascii="Helvetica" w:eastAsia="Helvetica Neue" w:hAnsi="Helvetica" w:cs="Helvetica"/>
          <w:b/>
          <w:sz w:val="46"/>
          <w:szCs w:val="46"/>
        </w:rPr>
        <w:lastRenderedPageBreak/>
        <w:t>Estructura del calendario de coordinación</w:t>
      </w:r>
    </w:p>
    <w:p w14:paraId="48D5CB1A" w14:textId="77777777" w:rsidR="00AA714E" w:rsidRPr="00220394" w:rsidRDefault="00AA714E">
      <w:pPr>
        <w:rPr>
          <w:rFonts w:ascii="Helvetica" w:eastAsia="Helvetica Neue" w:hAnsi="Helvetica" w:cs="Helvetica"/>
          <w:b/>
          <w:sz w:val="46"/>
          <w:szCs w:val="46"/>
        </w:rPr>
      </w:pPr>
    </w:p>
    <w:p w14:paraId="4CDD8DF2" w14:textId="77777777" w:rsidR="00AA714E" w:rsidRPr="00220394" w:rsidRDefault="00546B1F">
      <w:pPr>
        <w:spacing w:before="240" w:after="240" w:line="360" w:lineRule="auto"/>
        <w:jc w:val="both"/>
        <w:rPr>
          <w:rFonts w:ascii="Helvetica" w:eastAsia="Helvetica Neue" w:hAnsi="Helvetica" w:cs="Helvetica"/>
        </w:rPr>
      </w:pPr>
      <w:r w:rsidRPr="00220394">
        <w:rPr>
          <w:rFonts w:ascii="Helvetica" w:eastAsia="Helvetica Neue" w:hAnsi="Helvetica" w:cs="Helvetica"/>
        </w:rPr>
        <w:t xml:space="preserve">De conformidad con el artículo 74 del reglamento, es esencial que los Calendarios de Coordinación establezcan los temas en los que el INE y los OPL deben de colaborar para la celebración de elecciones extraordinarias. Para este fin, tomando como base experiencias anteriores, se definieron </w:t>
      </w:r>
      <w:r w:rsidRPr="00220394">
        <w:rPr>
          <w:rFonts w:ascii="Helvetica" w:eastAsia="Helvetica Neue" w:hAnsi="Helvetica" w:cs="Helvetica"/>
          <w:b/>
        </w:rPr>
        <w:t>16 subprocesos esenciales</w:t>
      </w:r>
      <w:r w:rsidRPr="00220394">
        <w:rPr>
          <w:rFonts w:ascii="Helvetica" w:eastAsia="Helvetica Neue" w:hAnsi="Helvetica" w:cs="Helvetica"/>
        </w:rPr>
        <w:t xml:space="preserve"> en la organización del Proceso Electoral Local Extraordinario 2022, a los que se les dará seguimiento puntual. Estas son:</w:t>
      </w:r>
    </w:p>
    <w:p w14:paraId="6A9B4D29" w14:textId="77777777" w:rsidR="00AA714E" w:rsidRPr="00220394" w:rsidRDefault="00546B1F">
      <w:pPr>
        <w:spacing w:before="240" w:after="240" w:line="360" w:lineRule="auto"/>
        <w:jc w:val="center"/>
        <w:rPr>
          <w:rFonts w:ascii="Helvetica" w:eastAsia="Helvetica Neue" w:hAnsi="Helvetica" w:cs="Helvetica"/>
        </w:rPr>
      </w:pPr>
      <w:r w:rsidRPr="00220394">
        <w:rPr>
          <w:rFonts w:ascii="Helvetica" w:eastAsia="Helvetica Neue" w:hAnsi="Helvetica" w:cs="Helvetica"/>
          <w:noProof/>
        </w:rPr>
        <w:drawing>
          <wp:inline distT="114300" distB="114300" distL="114300" distR="114300" wp14:anchorId="528B9D65" wp14:editId="51221FD4">
            <wp:extent cx="5038386" cy="5077142"/>
            <wp:effectExtent l="0" t="0" r="0" b="0"/>
            <wp:docPr id="69" name="image2.png" descr="Imagen de la pantalla de un celular con letras&#10;&#10;Descripción generada automáticamente con confianza baja"/>
            <wp:cNvGraphicFramePr/>
            <a:graphic xmlns:a="http://schemas.openxmlformats.org/drawingml/2006/main">
              <a:graphicData uri="http://schemas.openxmlformats.org/drawingml/2006/picture">
                <pic:pic xmlns:pic="http://schemas.openxmlformats.org/drawingml/2006/picture">
                  <pic:nvPicPr>
                    <pic:cNvPr id="0" name="image2.png" descr="Imagen de la pantalla de un celular con letras&#10;&#10;Descripción generada automáticamente con confianza baja"/>
                    <pic:cNvPicPr preferRelativeResize="0"/>
                  </pic:nvPicPr>
                  <pic:blipFill>
                    <a:blip r:embed="rId13"/>
                    <a:srcRect/>
                    <a:stretch>
                      <a:fillRect/>
                    </a:stretch>
                  </pic:blipFill>
                  <pic:spPr>
                    <a:xfrm>
                      <a:off x="0" y="0"/>
                      <a:ext cx="5038386" cy="5077142"/>
                    </a:xfrm>
                    <a:prstGeom prst="rect">
                      <a:avLst/>
                    </a:prstGeom>
                    <a:ln/>
                  </pic:spPr>
                </pic:pic>
              </a:graphicData>
            </a:graphic>
          </wp:inline>
        </w:drawing>
      </w:r>
    </w:p>
    <w:p w14:paraId="62EC0C56" w14:textId="77777777" w:rsidR="00AA714E" w:rsidRPr="00220394" w:rsidRDefault="00AA714E">
      <w:pPr>
        <w:spacing w:before="240" w:after="240" w:line="360" w:lineRule="auto"/>
        <w:jc w:val="both"/>
        <w:rPr>
          <w:rFonts w:ascii="Helvetica" w:eastAsia="Helvetica Neue" w:hAnsi="Helvetica" w:cs="Helvetica"/>
          <w:b/>
        </w:rPr>
      </w:pPr>
    </w:p>
    <w:p w14:paraId="14A23568" w14:textId="5466C46B" w:rsidR="00AA714E" w:rsidRPr="00220394" w:rsidRDefault="00546B1F">
      <w:pPr>
        <w:spacing w:before="240" w:after="240" w:line="360" w:lineRule="auto"/>
        <w:jc w:val="both"/>
        <w:rPr>
          <w:rFonts w:ascii="Helvetica" w:eastAsia="Helvetica Neue" w:hAnsi="Helvetica" w:cs="Helvetica"/>
        </w:rPr>
      </w:pPr>
      <w:r w:rsidRPr="00220394">
        <w:rPr>
          <w:rFonts w:ascii="Helvetica" w:eastAsia="Helvetica Neue" w:hAnsi="Helvetica" w:cs="Helvetica"/>
        </w:rPr>
        <w:lastRenderedPageBreak/>
        <w:t>Cada una de estas temáticas se encuentran integradas por actividades prioritarias que permiten tanto un adecuado desarrollo de</w:t>
      </w:r>
      <w:r w:rsidR="00881F85">
        <w:rPr>
          <w:rFonts w:ascii="Helvetica" w:eastAsia="Helvetica Neue" w:hAnsi="Helvetica" w:cs="Helvetica"/>
        </w:rPr>
        <w:t>l</w:t>
      </w:r>
      <w:r w:rsidRPr="00220394">
        <w:rPr>
          <w:rFonts w:ascii="Helvetica" w:eastAsia="Helvetica Neue" w:hAnsi="Helvetica" w:cs="Helvetica"/>
        </w:rPr>
        <w:t xml:space="preserve"> Proceso Electoral Extraordinario, como el seguimiento estratégico que proporcione información relevante. Para darle una naturaleza comparativa al instrumento con el propósito de unificar nomenclaturas se diseñó un </w:t>
      </w:r>
      <w:r w:rsidRPr="00220394">
        <w:rPr>
          <w:rFonts w:ascii="Helvetica" w:eastAsia="Helvetica Neue" w:hAnsi="Helvetica" w:cs="Helvetica"/>
          <w:b/>
        </w:rPr>
        <w:t>catálogo de actividades</w:t>
      </w:r>
      <w:r w:rsidRPr="00220394">
        <w:rPr>
          <w:rFonts w:ascii="Helvetica" w:eastAsia="Helvetica Neue" w:hAnsi="Helvetica" w:cs="Helvetica"/>
        </w:rPr>
        <w:t xml:space="preserve"> que contiene todas las actividades posibles y con base al tipo de elección y la normatividad local se seleccionan las que son aplicables a cada entidad. Lo anterior, permite establecer una numeración homogénea entre todas las entidades con elecciones </w:t>
      </w:r>
      <w:r w:rsidR="00292757">
        <w:rPr>
          <w:rFonts w:ascii="Helvetica" w:eastAsia="Helvetica Neue" w:hAnsi="Helvetica" w:cs="Helvetica"/>
        </w:rPr>
        <w:t xml:space="preserve">extraordinarias </w:t>
      </w:r>
      <w:r w:rsidRPr="00220394">
        <w:rPr>
          <w:rFonts w:ascii="Helvetica" w:eastAsia="Helvetica Neue" w:hAnsi="Helvetica" w:cs="Helvetica"/>
        </w:rPr>
        <w:t>y comparar de manera rápida el estatus que guarda una actividad en cada entidad. En cada una de las actividades se definen las siguientes variables:</w:t>
      </w:r>
    </w:p>
    <w:p w14:paraId="2DE79B6B" w14:textId="77777777" w:rsidR="00AA714E" w:rsidRPr="00220394" w:rsidRDefault="00546B1F">
      <w:pPr>
        <w:spacing w:before="240" w:after="240" w:line="360" w:lineRule="auto"/>
        <w:ind w:left="1440" w:hanging="360"/>
        <w:jc w:val="both"/>
        <w:rPr>
          <w:rFonts w:ascii="Helvetica" w:eastAsia="Helvetica Neue" w:hAnsi="Helvetica" w:cs="Helvetica"/>
        </w:rPr>
      </w:pPr>
      <w:r w:rsidRPr="00220394">
        <w:rPr>
          <w:rFonts w:ascii="Helvetica" w:eastAsia="Helvetica Neue" w:hAnsi="Helvetica" w:cs="Helvetica"/>
        </w:rPr>
        <w:t>·</w:t>
      </w:r>
      <w:r w:rsidRPr="00220394">
        <w:rPr>
          <w:rFonts w:ascii="Helvetica" w:eastAsia="Helvetica Neue" w:hAnsi="Helvetica" w:cs="Helvetica"/>
          <w:sz w:val="14"/>
          <w:szCs w:val="14"/>
        </w:rPr>
        <w:t xml:space="preserve">     </w:t>
      </w:r>
      <w:r w:rsidRPr="00220394">
        <w:rPr>
          <w:rFonts w:ascii="Helvetica" w:eastAsia="Helvetica Neue" w:hAnsi="Helvetica" w:cs="Helvetica"/>
          <w:sz w:val="14"/>
          <w:szCs w:val="14"/>
        </w:rPr>
        <w:tab/>
      </w:r>
      <w:r w:rsidRPr="00220394">
        <w:rPr>
          <w:rFonts w:ascii="Helvetica" w:eastAsia="Helvetica Neue" w:hAnsi="Helvetica" w:cs="Helvetica"/>
        </w:rPr>
        <w:t>Fecha de inicio;</w:t>
      </w:r>
    </w:p>
    <w:p w14:paraId="29421A09" w14:textId="77777777" w:rsidR="00AA714E" w:rsidRPr="00220394" w:rsidRDefault="00546B1F">
      <w:pPr>
        <w:spacing w:before="240" w:after="240" w:line="360" w:lineRule="auto"/>
        <w:ind w:left="1440" w:hanging="360"/>
        <w:jc w:val="both"/>
        <w:rPr>
          <w:rFonts w:ascii="Helvetica" w:eastAsia="Helvetica Neue" w:hAnsi="Helvetica" w:cs="Helvetica"/>
        </w:rPr>
      </w:pPr>
      <w:r w:rsidRPr="00220394">
        <w:rPr>
          <w:rFonts w:ascii="Helvetica" w:eastAsia="Helvetica Neue" w:hAnsi="Helvetica" w:cs="Helvetica"/>
        </w:rPr>
        <w:t>·</w:t>
      </w:r>
      <w:r w:rsidRPr="00220394">
        <w:rPr>
          <w:rFonts w:ascii="Helvetica" w:eastAsia="Helvetica Neue" w:hAnsi="Helvetica" w:cs="Helvetica"/>
          <w:sz w:val="14"/>
          <w:szCs w:val="14"/>
        </w:rPr>
        <w:t xml:space="preserve">     </w:t>
      </w:r>
      <w:r w:rsidRPr="00220394">
        <w:rPr>
          <w:rFonts w:ascii="Helvetica" w:eastAsia="Helvetica Neue" w:hAnsi="Helvetica" w:cs="Helvetica"/>
          <w:sz w:val="14"/>
          <w:szCs w:val="14"/>
        </w:rPr>
        <w:tab/>
      </w:r>
      <w:r w:rsidRPr="00220394">
        <w:rPr>
          <w:rFonts w:ascii="Helvetica" w:eastAsia="Helvetica Neue" w:hAnsi="Helvetica" w:cs="Helvetica"/>
        </w:rPr>
        <w:t>Fecha de término;</w:t>
      </w:r>
    </w:p>
    <w:p w14:paraId="67ED8DA7" w14:textId="77777777" w:rsidR="00AA714E" w:rsidRPr="00220394" w:rsidRDefault="00546B1F">
      <w:pPr>
        <w:spacing w:before="240" w:after="240" w:line="360" w:lineRule="auto"/>
        <w:ind w:left="1440" w:hanging="360"/>
        <w:jc w:val="both"/>
        <w:rPr>
          <w:rFonts w:ascii="Helvetica" w:eastAsia="Helvetica Neue" w:hAnsi="Helvetica" w:cs="Helvetica"/>
        </w:rPr>
      </w:pPr>
      <w:r w:rsidRPr="00220394">
        <w:rPr>
          <w:rFonts w:ascii="Helvetica" w:eastAsia="Helvetica Neue" w:hAnsi="Helvetica" w:cs="Helvetica"/>
        </w:rPr>
        <w:t>·</w:t>
      </w:r>
      <w:r w:rsidRPr="00220394">
        <w:rPr>
          <w:rFonts w:ascii="Helvetica" w:eastAsia="Helvetica Neue" w:hAnsi="Helvetica" w:cs="Helvetica"/>
          <w:sz w:val="14"/>
          <w:szCs w:val="14"/>
        </w:rPr>
        <w:t xml:space="preserve">     </w:t>
      </w:r>
      <w:r w:rsidRPr="00220394">
        <w:rPr>
          <w:rFonts w:ascii="Helvetica" w:eastAsia="Helvetica Neue" w:hAnsi="Helvetica" w:cs="Helvetica"/>
          <w:sz w:val="14"/>
          <w:szCs w:val="14"/>
        </w:rPr>
        <w:tab/>
      </w:r>
      <w:r w:rsidRPr="00220394">
        <w:rPr>
          <w:rFonts w:ascii="Helvetica" w:eastAsia="Helvetica Neue" w:hAnsi="Helvetica" w:cs="Helvetica"/>
        </w:rPr>
        <w:t>Adscripción (INE u OPL);</w:t>
      </w:r>
    </w:p>
    <w:p w14:paraId="1F603D53" w14:textId="77777777" w:rsidR="00AA714E" w:rsidRPr="00220394" w:rsidRDefault="00546B1F">
      <w:pPr>
        <w:spacing w:before="240" w:after="240" w:line="360" w:lineRule="auto"/>
        <w:ind w:left="1440" w:hanging="360"/>
        <w:jc w:val="both"/>
        <w:rPr>
          <w:rFonts w:ascii="Helvetica" w:eastAsia="Helvetica Neue" w:hAnsi="Helvetica" w:cs="Helvetica"/>
        </w:rPr>
      </w:pPr>
      <w:r w:rsidRPr="00220394">
        <w:rPr>
          <w:rFonts w:ascii="Helvetica" w:eastAsia="Helvetica Neue" w:hAnsi="Helvetica" w:cs="Helvetica"/>
        </w:rPr>
        <w:t>·</w:t>
      </w:r>
      <w:r w:rsidRPr="00220394">
        <w:rPr>
          <w:rFonts w:ascii="Helvetica" w:eastAsia="Helvetica Neue" w:hAnsi="Helvetica" w:cs="Helvetica"/>
          <w:sz w:val="14"/>
          <w:szCs w:val="14"/>
        </w:rPr>
        <w:t xml:space="preserve">     </w:t>
      </w:r>
      <w:r w:rsidRPr="00220394">
        <w:rPr>
          <w:rFonts w:ascii="Helvetica" w:eastAsia="Helvetica Neue" w:hAnsi="Helvetica" w:cs="Helvetica"/>
          <w:sz w:val="14"/>
          <w:szCs w:val="14"/>
        </w:rPr>
        <w:tab/>
      </w:r>
      <w:r w:rsidRPr="00220394">
        <w:rPr>
          <w:rFonts w:ascii="Helvetica" w:eastAsia="Helvetica Neue" w:hAnsi="Helvetica" w:cs="Helvetica"/>
        </w:rPr>
        <w:t>Unidad responsable;</w:t>
      </w:r>
    </w:p>
    <w:p w14:paraId="4A1D6415" w14:textId="77777777" w:rsidR="00AA714E" w:rsidRPr="00220394" w:rsidRDefault="00546B1F">
      <w:pPr>
        <w:spacing w:before="120" w:after="120" w:line="360" w:lineRule="auto"/>
        <w:ind w:left="360"/>
        <w:jc w:val="both"/>
        <w:rPr>
          <w:rFonts w:ascii="Helvetica" w:eastAsia="Helvetica Neue" w:hAnsi="Helvetica" w:cs="Helvetica"/>
        </w:rPr>
      </w:pPr>
      <w:r w:rsidRPr="00220394">
        <w:rPr>
          <w:rFonts w:ascii="Helvetica" w:eastAsia="Helvetica Neue" w:hAnsi="Helvetica" w:cs="Helvetica"/>
        </w:rPr>
        <w:t>Como parte del seguimiento se incluirá:</w:t>
      </w:r>
    </w:p>
    <w:p w14:paraId="649545AE" w14:textId="77777777" w:rsidR="00AA714E" w:rsidRPr="00220394" w:rsidRDefault="00546B1F">
      <w:pPr>
        <w:spacing w:before="120" w:after="120" w:line="360" w:lineRule="auto"/>
        <w:ind w:left="1440" w:hanging="360"/>
        <w:jc w:val="both"/>
        <w:rPr>
          <w:rFonts w:ascii="Helvetica" w:eastAsia="Helvetica Neue" w:hAnsi="Helvetica" w:cs="Helvetica"/>
        </w:rPr>
      </w:pPr>
      <w:r w:rsidRPr="00220394">
        <w:rPr>
          <w:rFonts w:ascii="Helvetica" w:eastAsia="Helvetica Neue" w:hAnsi="Helvetica" w:cs="Helvetica"/>
        </w:rPr>
        <w:t>·</w:t>
      </w:r>
      <w:r w:rsidRPr="00220394">
        <w:rPr>
          <w:rFonts w:ascii="Helvetica" w:eastAsia="Helvetica Neue" w:hAnsi="Helvetica" w:cs="Helvetica"/>
          <w:sz w:val="14"/>
          <w:szCs w:val="14"/>
        </w:rPr>
        <w:t xml:space="preserve">     </w:t>
      </w:r>
      <w:r w:rsidRPr="00220394">
        <w:rPr>
          <w:rFonts w:ascii="Helvetica" w:eastAsia="Helvetica Neue" w:hAnsi="Helvetica" w:cs="Helvetica"/>
          <w:sz w:val="14"/>
          <w:szCs w:val="14"/>
        </w:rPr>
        <w:tab/>
      </w:r>
      <w:r w:rsidRPr="00220394">
        <w:rPr>
          <w:rFonts w:ascii="Helvetica" w:eastAsia="Helvetica Neue" w:hAnsi="Helvetica" w:cs="Helvetica"/>
        </w:rPr>
        <w:t>Estatus actual; y</w:t>
      </w:r>
    </w:p>
    <w:p w14:paraId="4D9F0C10" w14:textId="77777777" w:rsidR="00AA714E" w:rsidRPr="00220394" w:rsidRDefault="00546B1F">
      <w:pPr>
        <w:spacing w:before="120" w:after="120" w:line="360" w:lineRule="auto"/>
        <w:ind w:left="1440" w:hanging="360"/>
        <w:jc w:val="both"/>
        <w:rPr>
          <w:rFonts w:ascii="Helvetica" w:eastAsia="Helvetica Neue" w:hAnsi="Helvetica" w:cs="Helvetica"/>
        </w:rPr>
      </w:pPr>
      <w:r w:rsidRPr="00220394">
        <w:rPr>
          <w:rFonts w:ascii="Helvetica" w:eastAsia="Helvetica Neue" w:hAnsi="Helvetica" w:cs="Helvetica"/>
        </w:rPr>
        <w:t>·</w:t>
      </w:r>
      <w:r w:rsidRPr="00220394">
        <w:rPr>
          <w:rFonts w:ascii="Helvetica" w:eastAsia="Helvetica Neue" w:hAnsi="Helvetica" w:cs="Helvetica"/>
          <w:sz w:val="14"/>
          <w:szCs w:val="14"/>
        </w:rPr>
        <w:t xml:space="preserve">     </w:t>
      </w:r>
      <w:r w:rsidRPr="00220394">
        <w:rPr>
          <w:rFonts w:ascii="Helvetica" w:eastAsia="Helvetica Neue" w:hAnsi="Helvetica" w:cs="Helvetica"/>
          <w:sz w:val="14"/>
          <w:szCs w:val="14"/>
        </w:rPr>
        <w:tab/>
      </w:r>
      <w:r w:rsidRPr="00220394">
        <w:rPr>
          <w:rFonts w:ascii="Helvetica" w:eastAsia="Helvetica Neue" w:hAnsi="Helvetica" w:cs="Helvetica"/>
        </w:rPr>
        <w:t>Nota cualitativa.</w:t>
      </w:r>
    </w:p>
    <w:p w14:paraId="699E9235" w14:textId="77777777" w:rsidR="00AA714E" w:rsidRPr="00220394" w:rsidRDefault="00546B1F">
      <w:pPr>
        <w:spacing w:before="240" w:after="240" w:line="360" w:lineRule="auto"/>
        <w:jc w:val="both"/>
        <w:rPr>
          <w:rFonts w:ascii="Helvetica" w:eastAsia="Helvetica Neue" w:hAnsi="Helvetica" w:cs="Helvetica"/>
        </w:rPr>
      </w:pPr>
      <w:r w:rsidRPr="00220394">
        <w:rPr>
          <w:rFonts w:ascii="Helvetica" w:eastAsia="Helvetica Neue" w:hAnsi="Helvetica" w:cs="Helvetica"/>
        </w:rPr>
        <w:t>Una vez determinadas las actividades a las que se les dará seguimiento, se define la instancia responsable de la actividad (INE u OPL), el periodo de ejecución y el soporte con el que se dará por concluida la actividad, a fin de homologar los documentos disponibles para consulta y clarificar con debido tiempo la información que debe ser remitida con notas cualitativas con un nivel de detalle estandarizado.</w:t>
      </w:r>
    </w:p>
    <w:p w14:paraId="035BF7A4" w14:textId="77777777" w:rsidR="00AA714E" w:rsidRPr="00220394" w:rsidRDefault="00546B1F">
      <w:pPr>
        <w:spacing w:before="120" w:after="120" w:line="360" w:lineRule="auto"/>
        <w:ind w:firstLine="720"/>
        <w:jc w:val="both"/>
        <w:rPr>
          <w:rFonts w:ascii="Helvetica" w:eastAsia="Helvetica Neue" w:hAnsi="Helvetica" w:cs="Helvetica"/>
        </w:rPr>
      </w:pPr>
      <w:r w:rsidRPr="00220394">
        <w:rPr>
          <w:rFonts w:ascii="Helvetica" w:eastAsia="Helvetica Neue" w:hAnsi="Helvetica" w:cs="Helvetica"/>
        </w:rPr>
        <w:t xml:space="preserve">Como principales insumos para la determinación de fechas y actividades se utilizó, por una parte, la legislación local en materia electoral, compuesta por la respectiva Constitución Local y las leyes secundarias en la materia, así como las reformas en la materia; y, por otra parte, la legislación general, integrada por la CPEUM, las leyes generales en la materia, el Reglamento y sus respectivos </w:t>
      </w:r>
      <w:r w:rsidRPr="00220394">
        <w:rPr>
          <w:rFonts w:ascii="Helvetica" w:eastAsia="Helvetica Neue" w:hAnsi="Helvetica" w:cs="Helvetica"/>
        </w:rPr>
        <w:lastRenderedPageBreak/>
        <w:t>anexos. Se utilizó la Tesis S3EL 020/2000 como criterio para que, cuando la legislación refiera a semanas, éstas se tomarán como completas, empezando el domingo y concluyendo el sábado.</w:t>
      </w:r>
    </w:p>
    <w:p w14:paraId="7A37EFC5" w14:textId="77777777" w:rsidR="00AA714E" w:rsidRPr="00220394" w:rsidRDefault="00546B1F">
      <w:pPr>
        <w:spacing w:before="240" w:after="240" w:line="360" w:lineRule="auto"/>
        <w:jc w:val="both"/>
        <w:rPr>
          <w:rFonts w:ascii="Helvetica" w:eastAsia="Helvetica Neue" w:hAnsi="Helvetica" w:cs="Helvetica"/>
        </w:rPr>
      </w:pPr>
      <w:r w:rsidRPr="00220394">
        <w:rPr>
          <w:rFonts w:ascii="Helvetica" w:eastAsia="Helvetica Neue" w:hAnsi="Helvetica" w:cs="Helvetica"/>
        </w:rPr>
        <w:t xml:space="preserve">En total se contemplaron </w:t>
      </w:r>
      <w:r w:rsidRPr="00220394">
        <w:rPr>
          <w:rFonts w:ascii="Helvetica" w:eastAsia="Helvetica Neue" w:hAnsi="Helvetica" w:cs="Helvetica"/>
          <w:b/>
        </w:rPr>
        <w:t xml:space="preserve">80 </w:t>
      </w:r>
      <w:r w:rsidRPr="00220394">
        <w:rPr>
          <w:rFonts w:ascii="Helvetica" w:eastAsia="Helvetica Neue" w:hAnsi="Helvetica" w:cs="Helvetica"/>
        </w:rPr>
        <w:t xml:space="preserve">actividades. </w:t>
      </w:r>
    </w:p>
    <w:p w14:paraId="4EF64450" w14:textId="77777777" w:rsidR="00AA714E" w:rsidRPr="00220394" w:rsidRDefault="00546B1F">
      <w:pPr>
        <w:spacing w:before="240" w:after="240"/>
        <w:jc w:val="center"/>
        <w:rPr>
          <w:rFonts w:ascii="Helvetica" w:eastAsia="Helvetica Neue" w:hAnsi="Helvetica" w:cs="Helvetica"/>
          <w:b/>
        </w:rPr>
      </w:pPr>
      <w:r w:rsidRPr="00220394">
        <w:rPr>
          <w:rFonts w:ascii="Helvetica" w:eastAsia="Helvetica Neue" w:hAnsi="Helvetica" w:cs="Helvetica"/>
          <w:b/>
        </w:rPr>
        <w:t xml:space="preserve">Tabla 4. Número de actividades </w:t>
      </w:r>
    </w:p>
    <w:tbl>
      <w:tblPr>
        <w:tblW w:w="63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3030"/>
        <w:gridCol w:w="3360"/>
      </w:tblGrid>
      <w:tr w:rsidR="00AA714E" w:rsidRPr="00220394" w14:paraId="14E12BE0" w14:textId="77777777">
        <w:trPr>
          <w:jc w:val="center"/>
        </w:trPr>
        <w:tc>
          <w:tcPr>
            <w:tcW w:w="3030" w:type="dxa"/>
            <w:shd w:val="clear" w:color="auto" w:fill="FF3398"/>
            <w:tcMar>
              <w:top w:w="100" w:type="dxa"/>
              <w:left w:w="100" w:type="dxa"/>
              <w:bottom w:w="100" w:type="dxa"/>
              <w:right w:w="100" w:type="dxa"/>
            </w:tcMar>
          </w:tcPr>
          <w:p w14:paraId="58A792B1" w14:textId="77777777" w:rsidR="00AA714E" w:rsidRPr="00220394" w:rsidRDefault="00546B1F">
            <w:pPr>
              <w:widowControl w:val="0"/>
              <w:pBdr>
                <w:top w:val="nil"/>
                <w:left w:val="nil"/>
                <w:bottom w:val="nil"/>
                <w:right w:val="nil"/>
                <w:between w:val="nil"/>
              </w:pBdr>
              <w:jc w:val="center"/>
              <w:rPr>
                <w:rFonts w:ascii="Helvetica" w:eastAsia="Helvetica Neue" w:hAnsi="Helvetica" w:cs="Helvetica"/>
                <w:b/>
                <w:color w:val="FFFFFF"/>
              </w:rPr>
            </w:pPr>
            <w:r w:rsidRPr="00220394">
              <w:rPr>
                <w:rFonts w:ascii="Helvetica" w:eastAsia="Helvetica Neue" w:hAnsi="Helvetica" w:cs="Helvetica"/>
                <w:b/>
                <w:color w:val="FFFFFF"/>
              </w:rPr>
              <w:t>Entidad</w:t>
            </w:r>
          </w:p>
        </w:tc>
        <w:tc>
          <w:tcPr>
            <w:tcW w:w="3360" w:type="dxa"/>
            <w:shd w:val="clear" w:color="auto" w:fill="FF3398"/>
            <w:tcMar>
              <w:top w:w="100" w:type="dxa"/>
              <w:left w:w="100" w:type="dxa"/>
              <w:bottom w:w="100" w:type="dxa"/>
              <w:right w:w="100" w:type="dxa"/>
            </w:tcMar>
          </w:tcPr>
          <w:p w14:paraId="2FB38424" w14:textId="77777777" w:rsidR="00AA714E" w:rsidRPr="00220394" w:rsidRDefault="00546B1F">
            <w:pPr>
              <w:widowControl w:val="0"/>
              <w:pBdr>
                <w:top w:val="nil"/>
                <w:left w:val="nil"/>
                <w:bottom w:val="nil"/>
                <w:right w:val="nil"/>
                <w:between w:val="nil"/>
              </w:pBdr>
              <w:jc w:val="center"/>
              <w:rPr>
                <w:rFonts w:ascii="Helvetica" w:eastAsia="Helvetica Neue" w:hAnsi="Helvetica" w:cs="Helvetica"/>
                <w:b/>
                <w:color w:val="FFFFFF"/>
              </w:rPr>
            </w:pPr>
            <w:r w:rsidRPr="00220394">
              <w:rPr>
                <w:rFonts w:ascii="Helvetica" w:eastAsia="Helvetica Neue" w:hAnsi="Helvetica" w:cs="Helvetica"/>
                <w:b/>
                <w:color w:val="FFFFFF"/>
              </w:rPr>
              <w:t>Actividades</w:t>
            </w:r>
          </w:p>
        </w:tc>
      </w:tr>
      <w:tr w:rsidR="00AA714E" w:rsidRPr="00220394" w14:paraId="74065F21" w14:textId="77777777">
        <w:trPr>
          <w:jc w:val="center"/>
        </w:trPr>
        <w:tc>
          <w:tcPr>
            <w:tcW w:w="3030" w:type="dxa"/>
            <w:shd w:val="clear" w:color="auto" w:fill="auto"/>
            <w:tcMar>
              <w:top w:w="100" w:type="dxa"/>
              <w:left w:w="100" w:type="dxa"/>
              <w:bottom w:w="100" w:type="dxa"/>
              <w:right w:w="100" w:type="dxa"/>
            </w:tcMar>
          </w:tcPr>
          <w:p w14:paraId="1D5CFF34" w14:textId="77777777" w:rsidR="00AA714E" w:rsidRPr="00220394" w:rsidRDefault="00546B1F">
            <w:pPr>
              <w:widowControl w:val="0"/>
              <w:pBdr>
                <w:top w:val="nil"/>
                <w:left w:val="nil"/>
                <w:bottom w:val="nil"/>
                <w:right w:val="nil"/>
                <w:between w:val="nil"/>
              </w:pBdr>
              <w:jc w:val="center"/>
              <w:rPr>
                <w:rFonts w:ascii="Helvetica" w:eastAsia="Helvetica Neue" w:hAnsi="Helvetica" w:cs="Helvetica"/>
                <w:b/>
              </w:rPr>
            </w:pPr>
            <w:r w:rsidRPr="00220394">
              <w:rPr>
                <w:rFonts w:ascii="Helvetica" w:eastAsia="Helvetica Neue" w:hAnsi="Helvetica" w:cs="Helvetica"/>
                <w:b/>
              </w:rPr>
              <w:t>Estado de México</w:t>
            </w:r>
          </w:p>
        </w:tc>
        <w:tc>
          <w:tcPr>
            <w:tcW w:w="3360" w:type="dxa"/>
            <w:shd w:val="clear" w:color="auto" w:fill="auto"/>
            <w:tcMar>
              <w:top w:w="100" w:type="dxa"/>
              <w:left w:w="100" w:type="dxa"/>
              <w:bottom w:w="100" w:type="dxa"/>
              <w:right w:w="100" w:type="dxa"/>
            </w:tcMar>
          </w:tcPr>
          <w:p w14:paraId="13B724AB" w14:textId="77777777" w:rsidR="00AA714E" w:rsidRPr="00220394" w:rsidRDefault="00546B1F">
            <w:pPr>
              <w:widowControl w:val="0"/>
              <w:pBdr>
                <w:top w:val="nil"/>
                <w:left w:val="nil"/>
                <w:bottom w:val="nil"/>
                <w:right w:val="nil"/>
                <w:between w:val="nil"/>
              </w:pBdr>
              <w:jc w:val="center"/>
              <w:rPr>
                <w:rFonts w:ascii="Helvetica" w:eastAsia="Helvetica Neue" w:hAnsi="Helvetica" w:cs="Helvetica"/>
                <w:b/>
              </w:rPr>
            </w:pPr>
            <w:r w:rsidRPr="00220394">
              <w:rPr>
                <w:rFonts w:ascii="Helvetica" w:eastAsia="Helvetica Neue" w:hAnsi="Helvetica" w:cs="Helvetica"/>
                <w:b/>
              </w:rPr>
              <w:t>80</w:t>
            </w:r>
          </w:p>
        </w:tc>
      </w:tr>
    </w:tbl>
    <w:p w14:paraId="337C58DE" w14:textId="77777777" w:rsidR="00AA714E" w:rsidRPr="00220394" w:rsidRDefault="00546B1F">
      <w:pPr>
        <w:spacing w:before="240" w:after="240"/>
        <w:jc w:val="center"/>
        <w:rPr>
          <w:rFonts w:ascii="Helvetica" w:eastAsia="Helvetica Neue" w:hAnsi="Helvetica" w:cs="Helvetica"/>
          <w:sz w:val="16"/>
          <w:szCs w:val="16"/>
        </w:rPr>
      </w:pPr>
      <w:r w:rsidRPr="00220394">
        <w:rPr>
          <w:rFonts w:ascii="Helvetica" w:eastAsia="Helvetica Neue" w:hAnsi="Helvetica" w:cs="Helvetica"/>
          <w:b/>
          <w:sz w:val="16"/>
          <w:szCs w:val="16"/>
        </w:rPr>
        <w:t xml:space="preserve">Fuente: </w:t>
      </w:r>
      <w:r w:rsidRPr="00220394">
        <w:rPr>
          <w:rFonts w:ascii="Helvetica" w:eastAsia="Helvetica Neue" w:hAnsi="Helvetica" w:cs="Helvetica"/>
          <w:sz w:val="16"/>
          <w:szCs w:val="16"/>
        </w:rPr>
        <w:t>Elaboración propia con información de la UTVOPL</w:t>
      </w:r>
    </w:p>
    <w:p w14:paraId="446A1B6F" w14:textId="77777777" w:rsidR="00AA714E" w:rsidRPr="00220394" w:rsidRDefault="00AA714E">
      <w:pPr>
        <w:rPr>
          <w:rFonts w:ascii="Helvetica" w:eastAsia="Helvetica Neue" w:hAnsi="Helvetica" w:cs="Helvetica"/>
        </w:rPr>
      </w:pPr>
    </w:p>
    <w:p w14:paraId="35AB428C" w14:textId="77777777" w:rsidR="00AA714E" w:rsidRPr="00220394" w:rsidRDefault="00546B1F">
      <w:pPr>
        <w:rPr>
          <w:rFonts w:ascii="Helvetica" w:eastAsia="Helvetica Neue" w:hAnsi="Helvetica" w:cs="Helvetica"/>
        </w:rPr>
      </w:pPr>
      <w:r w:rsidRPr="00220394">
        <w:rPr>
          <w:rFonts w:ascii="Helvetica" w:hAnsi="Helvetica" w:cs="Helvetica"/>
        </w:rPr>
        <w:br w:type="page"/>
      </w:r>
    </w:p>
    <w:p w14:paraId="0624CACE" w14:textId="77777777" w:rsidR="00AA714E" w:rsidRPr="00220394" w:rsidRDefault="00546B1F">
      <w:pPr>
        <w:numPr>
          <w:ilvl w:val="0"/>
          <w:numId w:val="2"/>
        </w:numPr>
        <w:rPr>
          <w:rFonts w:ascii="Helvetica" w:eastAsia="Helvetica Neue" w:hAnsi="Helvetica" w:cs="Helvetica"/>
          <w:b/>
          <w:sz w:val="46"/>
          <w:szCs w:val="46"/>
        </w:rPr>
      </w:pPr>
      <w:r w:rsidRPr="00220394">
        <w:rPr>
          <w:rFonts w:ascii="Helvetica" w:eastAsia="Helvetica Neue" w:hAnsi="Helvetica" w:cs="Helvetica"/>
          <w:b/>
          <w:sz w:val="46"/>
          <w:szCs w:val="46"/>
        </w:rPr>
        <w:lastRenderedPageBreak/>
        <w:t>Seguimiento a los calendarios de coordinación</w:t>
      </w:r>
    </w:p>
    <w:p w14:paraId="4C85016C" w14:textId="77777777" w:rsidR="00AA714E" w:rsidRPr="00220394" w:rsidRDefault="00AA714E">
      <w:pPr>
        <w:rPr>
          <w:rFonts w:ascii="Helvetica" w:eastAsia="Helvetica Neue" w:hAnsi="Helvetica" w:cs="Helvetica"/>
          <w:b/>
          <w:sz w:val="46"/>
          <w:szCs w:val="46"/>
        </w:rPr>
      </w:pPr>
    </w:p>
    <w:p w14:paraId="25947C1B"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La UTVOPL será la responsable de reflejar en el calendario la información que se obtenga a través del seguimiento y de aquella que remitan tanto las áreas ejecutivas, Unidades Técnicas y Órganos Desconcentrados del INE y de los OPL.</w:t>
      </w:r>
    </w:p>
    <w:p w14:paraId="4C69D28D" w14:textId="77777777" w:rsidR="00AA714E" w:rsidRPr="00220394" w:rsidRDefault="00546B1F">
      <w:pPr>
        <w:spacing w:line="360" w:lineRule="auto"/>
        <w:ind w:firstLine="720"/>
        <w:jc w:val="both"/>
        <w:rPr>
          <w:rFonts w:ascii="Helvetica" w:eastAsia="Helvetica Neue" w:hAnsi="Helvetica" w:cs="Helvetica"/>
        </w:rPr>
      </w:pPr>
      <w:r w:rsidRPr="00220394">
        <w:rPr>
          <w:rFonts w:ascii="Helvetica" w:eastAsia="Helvetica Neue" w:hAnsi="Helvetica" w:cs="Helvetica"/>
        </w:rPr>
        <w:t>La clasificación que se otorgará con base en los periodos de ejecución es la siguiente:</w:t>
      </w:r>
    </w:p>
    <w:p w14:paraId="12BF54A6" w14:textId="77777777" w:rsidR="00AA714E" w:rsidRPr="00220394" w:rsidRDefault="00AA714E">
      <w:pPr>
        <w:spacing w:line="360" w:lineRule="auto"/>
        <w:jc w:val="both"/>
        <w:rPr>
          <w:rFonts w:ascii="Helvetica" w:eastAsia="Helvetica Neue" w:hAnsi="Helvetica" w:cs="Helvetica"/>
        </w:rPr>
      </w:pPr>
    </w:p>
    <w:p w14:paraId="511F2D95"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1.- Actividad por iniciar.</w:t>
      </w:r>
    </w:p>
    <w:p w14:paraId="34249FB2"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2.- Actividad en ejecución.</w:t>
      </w:r>
    </w:p>
    <w:p w14:paraId="7C0F3F16"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3.- Actividad concluida.</w:t>
      </w:r>
    </w:p>
    <w:p w14:paraId="6FF41D82"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4.- Actividad concluida con retraso.</w:t>
      </w:r>
    </w:p>
    <w:p w14:paraId="031D0170"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5.- Actividad en ejecución con retraso.</w:t>
      </w:r>
    </w:p>
    <w:p w14:paraId="0ACCC6E2" w14:textId="77777777" w:rsidR="00AA714E" w:rsidRPr="00220394" w:rsidRDefault="00AA714E">
      <w:pPr>
        <w:spacing w:line="360" w:lineRule="auto"/>
        <w:jc w:val="both"/>
        <w:rPr>
          <w:rFonts w:ascii="Helvetica" w:eastAsia="Helvetica Neue" w:hAnsi="Helvetica" w:cs="Helvetica"/>
        </w:rPr>
      </w:pPr>
    </w:p>
    <w:p w14:paraId="6CF6917C" w14:textId="77777777" w:rsidR="00AA714E" w:rsidRPr="00220394" w:rsidRDefault="00546B1F">
      <w:pPr>
        <w:spacing w:line="360" w:lineRule="auto"/>
        <w:ind w:firstLine="720"/>
        <w:jc w:val="both"/>
        <w:rPr>
          <w:rFonts w:ascii="Helvetica" w:eastAsia="Helvetica Neue" w:hAnsi="Helvetica" w:cs="Helvetica"/>
        </w:rPr>
      </w:pPr>
      <w:r w:rsidRPr="00220394">
        <w:rPr>
          <w:rFonts w:ascii="Helvetica" w:eastAsia="Helvetica Neue" w:hAnsi="Helvetica" w:cs="Helvetica"/>
        </w:rPr>
        <w:t>A cada estatus corresponderá una nota cualitativa, en la que se especifica cómo se realizó o se realiza la actividad y aquellas que se encuentren desfasadas conforme a lo planeado, exponiendo las razones del desfase y las acciones que se estuvieren llevando a cabo para concluirlas.</w:t>
      </w:r>
    </w:p>
    <w:p w14:paraId="4A383A86" w14:textId="77777777" w:rsidR="00AA714E" w:rsidRPr="00220394" w:rsidRDefault="00AA714E">
      <w:pPr>
        <w:spacing w:line="360" w:lineRule="auto"/>
        <w:rPr>
          <w:rFonts w:ascii="Helvetica" w:eastAsia="Helvetica Neue" w:hAnsi="Helvetica" w:cs="Helvetica"/>
        </w:rPr>
      </w:pPr>
    </w:p>
    <w:p w14:paraId="6A29F461" w14:textId="77777777" w:rsidR="00AA714E" w:rsidRPr="00220394" w:rsidRDefault="00AA714E">
      <w:pPr>
        <w:rPr>
          <w:rFonts w:ascii="Helvetica" w:eastAsia="Helvetica Neue" w:hAnsi="Helvetica" w:cs="Helvetica"/>
        </w:rPr>
      </w:pPr>
    </w:p>
    <w:p w14:paraId="669114F0" w14:textId="77777777" w:rsidR="00AA714E" w:rsidRPr="00220394" w:rsidRDefault="00AA714E">
      <w:pPr>
        <w:rPr>
          <w:rFonts w:ascii="Helvetica" w:eastAsia="Helvetica Neue" w:hAnsi="Helvetica" w:cs="Helvetica"/>
        </w:rPr>
      </w:pPr>
    </w:p>
    <w:p w14:paraId="66DD2403" w14:textId="77777777" w:rsidR="00AA714E" w:rsidRPr="00220394" w:rsidRDefault="00AA714E">
      <w:pPr>
        <w:rPr>
          <w:rFonts w:ascii="Helvetica" w:eastAsia="Helvetica Neue" w:hAnsi="Helvetica" w:cs="Helvetica"/>
        </w:rPr>
      </w:pPr>
    </w:p>
    <w:p w14:paraId="4CBB6559" w14:textId="77777777" w:rsidR="00AA714E" w:rsidRPr="00220394" w:rsidRDefault="00AA714E">
      <w:pPr>
        <w:rPr>
          <w:rFonts w:ascii="Helvetica" w:eastAsia="Helvetica Neue" w:hAnsi="Helvetica" w:cs="Helvetica"/>
        </w:rPr>
      </w:pPr>
    </w:p>
    <w:p w14:paraId="4C2BF481" w14:textId="77777777" w:rsidR="00AA714E" w:rsidRPr="00220394" w:rsidRDefault="00AA714E">
      <w:pPr>
        <w:rPr>
          <w:rFonts w:ascii="Helvetica" w:eastAsia="Helvetica Neue" w:hAnsi="Helvetica" w:cs="Helvetica"/>
        </w:rPr>
      </w:pPr>
    </w:p>
    <w:p w14:paraId="4D4FC54A" w14:textId="77777777" w:rsidR="00AA714E" w:rsidRPr="00220394" w:rsidRDefault="00AA714E">
      <w:pPr>
        <w:rPr>
          <w:rFonts w:ascii="Helvetica" w:eastAsia="Helvetica Neue" w:hAnsi="Helvetica" w:cs="Helvetica"/>
        </w:rPr>
      </w:pPr>
    </w:p>
    <w:p w14:paraId="08508C37" w14:textId="77777777" w:rsidR="00AA714E" w:rsidRPr="00220394" w:rsidRDefault="00546B1F">
      <w:pPr>
        <w:rPr>
          <w:rFonts w:ascii="Helvetica" w:eastAsia="Helvetica Neue" w:hAnsi="Helvetica" w:cs="Helvetica"/>
        </w:rPr>
      </w:pPr>
      <w:r w:rsidRPr="00220394">
        <w:rPr>
          <w:rFonts w:ascii="Helvetica" w:hAnsi="Helvetica" w:cs="Helvetica"/>
        </w:rPr>
        <w:br w:type="page"/>
      </w:r>
    </w:p>
    <w:p w14:paraId="151FD5C7" w14:textId="77777777" w:rsidR="00AA714E" w:rsidRPr="00220394" w:rsidRDefault="00546B1F">
      <w:pPr>
        <w:numPr>
          <w:ilvl w:val="0"/>
          <w:numId w:val="2"/>
        </w:numPr>
        <w:rPr>
          <w:rFonts w:ascii="Helvetica" w:eastAsia="Helvetica Neue" w:hAnsi="Helvetica" w:cs="Helvetica"/>
          <w:b/>
          <w:sz w:val="46"/>
          <w:szCs w:val="46"/>
        </w:rPr>
      </w:pPr>
      <w:r w:rsidRPr="00220394">
        <w:rPr>
          <w:rFonts w:ascii="Helvetica" w:eastAsia="Helvetica Neue" w:hAnsi="Helvetica" w:cs="Helvetica"/>
          <w:b/>
          <w:sz w:val="46"/>
          <w:szCs w:val="46"/>
        </w:rPr>
        <w:lastRenderedPageBreak/>
        <w:t>Colaboración de áreas ejecutivas unidades técnicas y OPL</w:t>
      </w:r>
    </w:p>
    <w:p w14:paraId="0158E4D3" w14:textId="77777777" w:rsidR="00AA714E" w:rsidRPr="00220394" w:rsidRDefault="00AA714E">
      <w:pPr>
        <w:ind w:left="720"/>
        <w:rPr>
          <w:rFonts w:ascii="Helvetica" w:eastAsia="Helvetica Neue" w:hAnsi="Helvetica" w:cs="Helvetica"/>
          <w:b/>
        </w:rPr>
      </w:pPr>
    </w:p>
    <w:p w14:paraId="4A4F289A" w14:textId="77777777" w:rsidR="00AA714E" w:rsidRPr="00220394" w:rsidRDefault="00546B1F">
      <w:pPr>
        <w:spacing w:before="120" w:after="120" w:line="360" w:lineRule="auto"/>
        <w:jc w:val="both"/>
        <w:rPr>
          <w:rFonts w:ascii="Helvetica" w:eastAsia="Helvetica Neue" w:hAnsi="Helvetica" w:cs="Helvetica"/>
        </w:rPr>
      </w:pPr>
      <w:r w:rsidRPr="00220394">
        <w:rPr>
          <w:rFonts w:ascii="Helvetica" w:eastAsia="Helvetica Neue" w:hAnsi="Helvetica" w:cs="Helvetica"/>
        </w:rPr>
        <w:t>Para un seguimiento puntual, también es necesaria la colaboración de las diversas áreas ejecutivas, unidades técnicas y órganos desconcentrados del INE, así como del OPL, que son las unidades responsables de las actividades que integran los calendarios de coordinación y a su vez, están vinculadas a proporcionar la información relativa a la ejecución, conclusión o desfase de las actividades. Como se indica en el artículo 26, numeral 2 del Reglamento, la coordinación entre el INE y los OPL tiene como propósito esencial concertar la actuación entre ambas autoridades, cada una en el ámbito de sus respectivas competencias, para elevar la calidad y eficacia en la organización y operación de los procesos electorales y optimizar los recursos humanos y materiales a su disposición, bajo un estricto apego al marco constitucional y legal aplicable. De conformidad con el numeral 6 del artículo antes mencionado, la comunicación entre las áreas ejecutivas y técnicas del INE con los OPL se realizará por conducto de la UTVOPL, mediante el mecanismo implementado para ello. Cabe mencionar que el 29 de marzo de 2019, la Comisión de Vinculación aprobó el Acuerdo INE/CVOPL/004/2019 por el que se modificó el Anexo 18 del Reglamento, para la implementación del Sistema de Vinculación con los Organismos Públicos Locales Electorales (SIVOPLE), como mecanismo de comunicación oficial.</w:t>
      </w:r>
    </w:p>
    <w:p w14:paraId="59D56D64" w14:textId="77777777" w:rsidR="00AA714E" w:rsidRPr="00220394" w:rsidRDefault="00546B1F">
      <w:pPr>
        <w:spacing w:before="120" w:after="120" w:line="360" w:lineRule="auto"/>
        <w:ind w:firstLine="720"/>
        <w:jc w:val="both"/>
        <w:rPr>
          <w:rFonts w:ascii="Helvetica" w:eastAsia="Helvetica Neue" w:hAnsi="Helvetica" w:cs="Helvetica"/>
        </w:rPr>
      </w:pPr>
      <w:r w:rsidRPr="00220394">
        <w:rPr>
          <w:rFonts w:ascii="Helvetica" w:eastAsia="Helvetica Neue" w:hAnsi="Helvetica" w:cs="Helvetica"/>
        </w:rPr>
        <w:t>Para aquellas actividades que son atribución de las áreas ejecutivas del INE, y que se ejecutan en coordinación o a través de los órganos desconcentrados, la comunicación que se realice con dichos órganos podrá ser por medio de correo electrónico, con la finalidad de hacer más eficiente y expedita la comunicación institucional. En el seguimiento y para dar por concluidas las actividades, las áreas ejecutivas y unidades técnicas del INE, así como los OPL, a más tardar al día siguiente en que haya concluido una actividad, deberán informar mediante correo electrónico; asimismo, dentro de los tres días posteriores a la fecha de conclusión, remitirán el soporte documental o formato respectivo (anexo 2) por SIVOPLE.</w:t>
      </w:r>
    </w:p>
    <w:p w14:paraId="6BD28BA3" w14:textId="77777777" w:rsidR="00AA714E" w:rsidRPr="00220394" w:rsidRDefault="00546B1F">
      <w:pPr>
        <w:spacing w:before="120" w:after="120" w:line="360" w:lineRule="auto"/>
        <w:ind w:firstLine="720"/>
        <w:jc w:val="both"/>
        <w:rPr>
          <w:rFonts w:ascii="Helvetica" w:eastAsia="Helvetica Neue" w:hAnsi="Helvetica" w:cs="Helvetica"/>
        </w:rPr>
      </w:pPr>
      <w:r w:rsidRPr="00220394">
        <w:rPr>
          <w:rFonts w:ascii="Helvetica" w:eastAsia="Helvetica Neue" w:hAnsi="Helvetica" w:cs="Helvetica"/>
        </w:rPr>
        <w:lastRenderedPageBreak/>
        <w:t>Es importante que el área encargada de la vinculación con el INE dentro de los OPL realice la socialización del Plan Integral con las y los integrantes de las áreas respectivas, a fin de contar con la información oportuna para realizar el reporte correspondiente.</w:t>
      </w:r>
    </w:p>
    <w:p w14:paraId="0743E527" w14:textId="77777777" w:rsidR="00AA714E" w:rsidRPr="00220394" w:rsidRDefault="00546B1F">
      <w:pPr>
        <w:spacing w:before="120" w:after="120" w:line="360" w:lineRule="auto"/>
        <w:ind w:firstLine="720"/>
        <w:jc w:val="both"/>
        <w:rPr>
          <w:rFonts w:ascii="Helvetica" w:eastAsia="Helvetica Neue" w:hAnsi="Helvetica" w:cs="Helvetica"/>
        </w:rPr>
      </w:pPr>
      <w:r w:rsidRPr="00220394">
        <w:rPr>
          <w:rFonts w:ascii="Helvetica" w:eastAsia="Helvetica Neue" w:hAnsi="Helvetica" w:cs="Helvetica"/>
        </w:rPr>
        <w:t>En caso de que exista un retraso en el cumplimiento de una actividad, al día siguiente en que debió haberse concluido dicha actividad, la o las áreas responsables del INE deberán informar mediante correo electrónico, mientras que el OPL deberá informar por SIVOPLE, los motivos del desfase, así como las acciones o procesos que se estuvieren llevando a cabo para concluirla. Dicha información se remitirá a través del formato respectivo (anexo 2). Una vez concluida la actividad, se deberá seguir con el procedimiento para informar. De igual forma, las áreas del INE y los OPL invariablemente deberán brindar a la UTVOPL acceso de consulta a los sistemas informáticos relacionados con las actividades incluidas en el Plan y Calendario. De esta manera, se busca garantizar que los informes que se presentan mensualmente en la Comisión, y posteriormente en el CG, se realicen con información oportuna y contextualizada sobre el estatus de cada actividad que se indica en el calendario. Asimismo, se mantendrá comunicación con el OPL y las áreas responsables lo que permitirá que el flujo de información y la coordinación sea eficaz.</w:t>
      </w:r>
    </w:p>
    <w:p w14:paraId="52BAC33D" w14:textId="77777777" w:rsidR="00AA714E" w:rsidRPr="00220394" w:rsidRDefault="00546B1F">
      <w:pPr>
        <w:spacing w:before="240" w:after="240" w:line="360" w:lineRule="auto"/>
        <w:jc w:val="both"/>
        <w:rPr>
          <w:rFonts w:ascii="Helvetica" w:eastAsia="Helvetica Neue" w:hAnsi="Helvetica" w:cs="Helvetica"/>
          <w:b/>
          <w:sz w:val="28"/>
          <w:szCs w:val="28"/>
        </w:rPr>
      </w:pPr>
      <w:r w:rsidRPr="00220394">
        <w:rPr>
          <w:rFonts w:ascii="Helvetica" w:eastAsia="Helvetica Neue" w:hAnsi="Helvetica" w:cs="Helvetica"/>
          <w:b/>
          <w:sz w:val="28"/>
          <w:szCs w:val="28"/>
        </w:rPr>
        <w:t>a) Modificaciones</w:t>
      </w:r>
    </w:p>
    <w:p w14:paraId="61E0CC3B" w14:textId="77777777" w:rsidR="00AA714E" w:rsidRPr="00220394" w:rsidRDefault="00546B1F">
      <w:pPr>
        <w:spacing w:before="240" w:after="240" w:line="360" w:lineRule="auto"/>
        <w:jc w:val="both"/>
        <w:rPr>
          <w:rFonts w:ascii="Helvetica" w:eastAsia="Helvetica Neue" w:hAnsi="Helvetica" w:cs="Helvetica"/>
        </w:rPr>
      </w:pPr>
      <w:r w:rsidRPr="00220394">
        <w:rPr>
          <w:rFonts w:ascii="Helvetica" w:eastAsia="Helvetica Neue" w:hAnsi="Helvetica" w:cs="Helvetica"/>
        </w:rPr>
        <w:t xml:space="preserve">De conformidad con el artículo 73 del Reglamento, los calendarios prevén la posibilidad de incluir, modificar o eliminar actividades, una vez aprobados los calendarios de coordinación. Conforme al mismo artículo del Reglamento, a continuación, se especifica el procedimiento para realizar las modificaciones necesarias: si alguna de las áreas del INE o el OPL requiriera alguna modificación o ajuste en fechas, deberá ser solicitado y justificado a la UTVOPL al menos con </w:t>
      </w:r>
      <w:r w:rsidRPr="00220394">
        <w:rPr>
          <w:rFonts w:ascii="Helvetica" w:eastAsia="Helvetica Neue" w:hAnsi="Helvetica" w:cs="Helvetica"/>
          <w:b/>
        </w:rPr>
        <w:t>5</w:t>
      </w:r>
      <w:r w:rsidRPr="00220394">
        <w:rPr>
          <w:rFonts w:ascii="Helvetica" w:eastAsia="Helvetica Neue" w:hAnsi="Helvetica" w:cs="Helvetica"/>
        </w:rPr>
        <w:t xml:space="preserve"> días previos al inicio o conclusión de la actividad a través del formato correspondiente (anexo 2) por medio de SIVOPLE.</w:t>
      </w:r>
    </w:p>
    <w:p w14:paraId="0807E1CF" w14:textId="77777777" w:rsidR="00AA714E" w:rsidRPr="00220394" w:rsidRDefault="00546B1F">
      <w:pPr>
        <w:spacing w:before="240" w:after="240" w:line="360" w:lineRule="auto"/>
        <w:ind w:firstLine="360"/>
        <w:jc w:val="both"/>
        <w:rPr>
          <w:rFonts w:ascii="Helvetica" w:eastAsia="Helvetica Neue" w:hAnsi="Helvetica" w:cs="Helvetica"/>
        </w:rPr>
      </w:pPr>
      <w:r w:rsidRPr="00220394">
        <w:rPr>
          <w:rFonts w:ascii="Helvetica" w:eastAsia="Helvetica Neue" w:hAnsi="Helvetica" w:cs="Helvetica"/>
        </w:rPr>
        <w:t xml:space="preserve">Las modificaciones se incluirán en el informe del periodo respectivo. En el caso de que las modificaciones deriven de un acuerdo del CG o de alguna Comisión del INE, la UTVOPL, en un plazo no mayor de cinco días hábiles </w:t>
      </w:r>
      <w:r w:rsidRPr="00220394">
        <w:rPr>
          <w:rFonts w:ascii="Helvetica" w:eastAsia="Helvetica Neue" w:hAnsi="Helvetica" w:cs="Helvetica"/>
        </w:rPr>
        <w:lastRenderedPageBreak/>
        <w:t>contados a partir de la aprobación de las modificaciones, deberá incorporarlas para estar en posibilidad de reportarlas cuando se rinda el informe con las adecuaciones respectivas dentro del periodo. Una vez que la Comisión apruebe dicho informe, los calendarios con sus modificaciones serán enviados a las áreas centrales del INE, las JLE y los OPL.</w:t>
      </w:r>
    </w:p>
    <w:p w14:paraId="316E64AB" w14:textId="77777777" w:rsidR="00AA714E" w:rsidRPr="00220394" w:rsidRDefault="00AA714E">
      <w:pPr>
        <w:rPr>
          <w:rFonts w:ascii="Helvetica" w:eastAsia="Helvetica Neue" w:hAnsi="Helvetica" w:cs="Helvetica"/>
        </w:rPr>
      </w:pPr>
    </w:p>
    <w:p w14:paraId="7318BCE0" w14:textId="77777777" w:rsidR="00AA714E" w:rsidRPr="00220394" w:rsidRDefault="00AA714E">
      <w:pPr>
        <w:rPr>
          <w:rFonts w:ascii="Helvetica" w:eastAsia="Helvetica Neue" w:hAnsi="Helvetica" w:cs="Helvetica"/>
        </w:rPr>
      </w:pPr>
    </w:p>
    <w:p w14:paraId="1712C587" w14:textId="77777777" w:rsidR="00AA714E" w:rsidRPr="00220394" w:rsidRDefault="00546B1F">
      <w:pPr>
        <w:rPr>
          <w:rFonts w:ascii="Helvetica" w:eastAsia="Helvetica Neue" w:hAnsi="Helvetica" w:cs="Helvetica"/>
        </w:rPr>
      </w:pPr>
      <w:r w:rsidRPr="00220394">
        <w:rPr>
          <w:rFonts w:ascii="Helvetica" w:hAnsi="Helvetica" w:cs="Helvetica"/>
        </w:rPr>
        <w:br w:type="page"/>
      </w:r>
    </w:p>
    <w:p w14:paraId="4630921A" w14:textId="77777777" w:rsidR="00AA714E" w:rsidRPr="00220394" w:rsidRDefault="00546B1F">
      <w:pPr>
        <w:numPr>
          <w:ilvl w:val="0"/>
          <w:numId w:val="2"/>
        </w:numPr>
        <w:rPr>
          <w:rFonts w:ascii="Helvetica" w:eastAsia="Helvetica Neue" w:hAnsi="Helvetica" w:cs="Helvetica"/>
          <w:b/>
          <w:sz w:val="46"/>
          <w:szCs w:val="46"/>
        </w:rPr>
      </w:pPr>
      <w:r w:rsidRPr="00220394">
        <w:rPr>
          <w:rFonts w:ascii="Helvetica" w:eastAsia="Helvetica Neue" w:hAnsi="Helvetica" w:cs="Helvetica"/>
          <w:b/>
          <w:sz w:val="46"/>
          <w:szCs w:val="46"/>
        </w:rPr>
        <w:lastRenderedPageBreak/>
        <w:t>Calendarios de coordinación</w:t>
      </w:r>
    </w:p>
    <w:p w14:paraId="5061C2EA" w14:textId="77777777" w:rsidR="00AA714E" w:rsidRPr="00220394" w:rsidRDefault="00AA714E">
      <w:pPr>
        <w:rPr>
          <w:rFonts w:ascii="Helvetica" w:eastAsia="Helvetica Neue" w:hAnsi="Helvetica" w:cs="Helvetica"/>
          <w:b/>
          <w:sz w:val="46"/>
          <w:szCs w:val="46"/>
        </w:rPr>
      </w:pPr>
    </w:p>
    <w:p w14:paraId="517F722F" w14:textId="77777777" w:rsidR="00AA714E" w:rsidRPr="00220394" w:rsidRDefault="00546B1F">
      <w:pPr>
        <w:spacing w:line="360" w:lineRule="auto"/>
        <w:jc w:val="both"/>
        <w:rPr>
          <w:rFonts w:ascii="Helvetica" w:eastAsia="Helvetica Neue" w:hAnsi="Helvetica" w:cs="Helvetica"/>
        </w:rPr>
      </w:pPr>
      <w:r w:rsidRPr="00220394">
        <w:rPr>
          <w:rFonts w:ascii="Helvetica" w:eastAsia="Helvetica Neue" w:hAnsi="Helvetica" w:cs="Helvetica"/>
        </w:rPr>
        <w:t>El calendario del Proceso Electoral Local Extraordinario 2022, así como el catálogo de actividades, se encuentran en los anexos respectivos. Conforme a lo que ordena el Reglamento, existiendo la posibilidad de que el calendario pueda ser modificado en sus actividades, plazos o área responsable de ejecutar la actividad, en consideración a las determinaciones que tomen tanto el INE como el OPL.</w:t>
      </w:r>
    </w:p>
    <w:p w14:paraId="214C537C" w14:textId="77777777" w:rsidR="00AA714E" w:rsidRPr="00220394" w:rsidRDefault="00AA714E">
      <w:pPr>
        <w:rPr>
          <w:rFonts w:ascii="Helvetica" w:eastAsia="Helvetica Neue" w:hAnsi="Helvetica" w:cs="Helvetica"/>
        </w:rPr>
      </w:pPr>
    </w:p>
    <w:p w14:paraId="082B90CB" w14:textId="77777777" w:rsidR="00AA714E" w:rsidRPr="00220394" w:rsidRDefault="00AA714E">
      <w:pPr>
        <w:rPr>
          <w:rFonts w:ascii="Helvetica" w:eastAsia="Helvetica Neue" w:hAnsi="Helvetica" w:cs="Helvetica"/>
        </w:rPr>
      </w:pPr>
    </w:p>
    <w:p w14:paraId="0A5E7FEF" w14:textId="77777777" w:rsidR="00AA714E" w:rsidRPr="00220394" w:rsidRDefault="00AA714E">
      <w:pPr>
        <w:rPr>
          <w:rFonts w:ascii="Helvetica" w:eastAsia="Helvetica Neue" w:hAnsi="Helvetica" w:cs="Helvetica"/>
        </w:rPr>
      </w:pPr>
    </w:p>
    <w:sectPr w:rsidR="00AA714E" w:rsidRPr="00220394">
      <w:footerReference w:type="even" r:id="rId14"/>
      <w:footerReference w:type="default" r:id="rId15"/>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1EDE1" w14:textId="77777777" w:rsidR="0072778B" w:rsidRDefault="0072778B">
      <w:r>
        <w:separator/>
      </w:r>
    </w:p>
  </w:endnote>
  <w:endnote w:type="continuationSeparator" w:id="0">
    <w:p w14:paraId="6E6CD729" w14:textId="77777777" w:rsidR="0072778B" w:rsidRDefault="0072778B">
      <w:r>
        <w:continuationSeparator/>
      </w:r>
    </w:p>
  </w:endnote>
  <w:endnote w:type="continuationNotice" w:id="1">
    <w:p w14:paraId="3FE68E80" w14:textId="77777777" w:rsidR="0072778B" w:rsidRDefault="007277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7AD1B0" w14:textId="77777777" w:rsidR="00AA714E" w:rsidRDefault="00546B1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sidR="0072778B">
      <w:rPr>
        <w:color w:val="000000"/>
      </w:rPr>
      <w:fldChar w:fldCharType="separate"/>
    </w:r>
    <w:r>
      <w:rPr>
        <w:color w:val="000000"/>
      </w:rPr>
      <w:fldChar w:fldCharType="end"/>
    </w:r>
  </w:p>
  <w:p w14:paraId="3FCB36A9" w14:textId="77777777" w:rsidR="00AA714E" w:rsidRDefault="00AA714E">
    <w:pPr>
      <w:pBdr>
        <w:top w:val="nil"/>
        <w:left w:val="nil"/>
        <w:bottom w:val="nil"/>
        <w:right w:val="nil"/>
        <w:between w:val="nil"/>
      </w:pBdr>
      <w:tabs>
        <w:tab w:val="center" w:pos="4252"/>
        <w:tab w:val="right" w:pos="8504"/>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F9AF2" w14:textId="77777777" w:rsidR="00AA714E" w:rsidRDefault="00546B1F">
    <w:pPr>
      <w:pBdr>
        <w:top w:val="nil"/>
        <w:left w:val="nil"/>
        <w:bottom w:val="nil"/>
        <w:right w:val="nil"/>
        <w:between w:val="nil"/>
      </w:pBdr>
      <w:tabs>
        <w:tab w:val="center" w:pos="4252"/>
        <w:tab w:val="right" w:pos="8504"/>
      </w:tabs>
      <w:jc w:val="right"/>
      <w:rPr>
        <w:color w:val="000000"/>
      </w:rPr>
    </w:pPr>
    <w:r>
      <w:rPr>
        <w:color w:val="000000"/>
      </w:rPr>
      <w:fldChar w:fldCharType="begin"/>
    </w:r>
    <w:r>
      <w:rPr>
        <w:color w:val="000000"/>
      </w:rPr>
      <w:instrText>PAGE</w:instrText>
    </w:r>
    <w:r>
      <w:rPr>
        <w:color w:val="000000"/>
      </w:rPr>
      <w:fldChar w:fldCharType="separate"/>
    </w:r>
    <w:r w:rsidR="009F4D0F">
      <w:rPr>
        <w:noProof/>
        <w:color w:val="000000"/>
      </w:rPr>
      <w:t>1</w:t>
    </w:r>
    <w:r>
      <w:rPr>
        <w:color w:val="000000"/>
      </w:rPr>
      <w:fldChar w:fldCharType="end"/>
    </w:r>
  </w:p>
  <w:p w14:paraId="50A7E08C" w14:textId="77777777" w:rsidR="00AA714E" w:rsidRDefault="00AA714E">
    <w:pPr>
      <w:pBdr>
        <w:top w:val="nil"/>
        <w:left w:val="nil"/>
        <w:bottom w:val="nil"/>
        <w:right w:val="nil"/>
        <w:between w:val="nil"/>
      </w:pBdr>
      <w:tabs>
        <w:tab w:val="center" w:pos="4252"/>
        <w:tab w:val="right" w:pos="8504"/>
      </w:tabs>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CCD263" w14:textId="77777777" w:rsidR="0072778B" w:rsidRDefault="0072778B">
      <w:r>
        <w:separator/>
      </w:r>
    </w:p>
  </w:footnote>
  <w:footnote w:type="continuationSeparator" w:id="0">
    <w:p w14:paraId="0CEBA201" w14:textId="77777777" w:rsidR="0072778B" w:rsidRDefault="0072778B">
      <w:r>
        <w:continuationSeparator/>
      </w:r>
    </w:p>
  </w:footnote>
  <w:footnote w:type="continuationNotice" w:id="1">
    <w:p w14:paraId="502B9678" w14:textId="77777777" w:rsidR="0072778B" w:rsidRDefault="0072778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D6090D"/>
    <w:multiLevelType w:val="multilevel"/>
    <w:tmpl w:val="C23050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26F3239"/>
    <w:multiLevelType w:val="multilevel"/>
    <w:tmpl w:val="C44C51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6DF21BBA"/>
    <w:multiLevelType w:val="multilevel"/>
    <w:tmpl w:val="B470A63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467645F"/>
    <w:multiLevelType w:val="multilevel"/>
    <w:tmpl w:val="AD9CBF02"/>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714E"/>
    <w:rsid w:val="00044AD9"/>
    <w:rsid w:val="00051D3F"/>
    <w:rsid w:val="000E1C3D"/>
    <w:rsid w:val="001C1549"/>
    <w:rsid w:val="00220394"/>
    <w:rsid w:val="0028283B"/>
    <w:rsid w:val="00292757"/>
    <w:rsid w:val="0030489E"/>
    <w:rsid w:val="00377AC4"/>
    <w:rsid w:val="00491F2E"/>
    <w:rsid w:val="00546B1F"/>
    <w:rsid w:val="005A5C22"/>
    <w:rsid w:val="005B11D4"/>
    <w:rsid w:val="00634632"/>
    <w:rsid w:val="006A5109"/>
    <w:rsid w:val="006C4B67"/>
    <w:rsid w:val="0072778B"/>
    <w:rsid w:val="007D54D2"/>
    <w:rsid w:val="007E73BB"/>
    <w:rsid w:val="007F25DB"/>
    <w:rsid w:val="00881F85"/>
    <w:rsid w:val="008D68FD"/>
    <w:rsid w:val="00981047"/>
    <w:rsid w:val="009B4166"/>
    <w:rsid w:val="009F4D0F"/>
    <w:rsid w:val="00A0196F"/>
    <w:rsid w:val="00A83939"/>
    <w:rsid w:val="00AA714E"/>
    <w:rsid w:val="00AC7565"/>
    <w:rsid w:val="00AD0585"/>
    <w:rsid w:val="00B009DB"/>
    <w:rsid w:val="00B81BD9"/>
    <w:rsid w:val="00C25EB6"/>
    <w:rsid w:val="00C631B0"/>
    <w:rsid w:val="00CC0200"/>
    <w:rsid w:val="00D97CDD"/>
    <w:rsid w:val="00DD641A"/>
    <w:rsid w:val="00E75464"/>
    <w:rsid w:val="00EF5EA1"/>
    <w:rsid w:val="00F514FC"/>
    <w:rsid w:val="00F933B6"/>
    <w:rsid w:val="00FB7220"/>
    <w:rsid w:val="00FE01D9"/>
    <w:rsid w:val="00FE066C"/>
    <w:rsid w:val="0D9416CA"/>
    <w:rsid w:val="39E59921"/>
    <w:rsid w:val="4373530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B1D646"/>
  <w15:docId w15:val="{79D1DB86-2DBB-42BC-ABBA-D249BE105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s-ES" w:eastAsia="es-ES_trad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7630"/>
  </w:style>
  <w:style w:type="paragraph" w:styleId="Ttulo1">
    <w:name w:val="heading 1"/>
    <w:basedOn w:val="Normal"/>
    <w:next w:val="Normal"/>
    <w:link w:val="Ttulo1Car"/>
    <w:uiPriority w:val="9"/>
    <w:qFormat/>
    <w:rsid w:val="00157630"/>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rsid w:val="00157630"/>
    <w:pPr>
      <w:keepNext/>
      <w:keepLines/>
      <w:spacing w:before="360" w:after="80"/>
      <w:outlineLvl w:val="1"/>
    </w:pPr>
    <w:rPr>
      <w:b/>
      <w:sz w:val="36"/>
      <w:szCs w:val="36"/>
    </w:rPr>
  </w:style>
  <w:style w:type="paragraph" w:styleId="Ttulo3">
    <w:name w:val="heading 3"/>
    <w:basedOn w:val="Normal"/>
    <w:next w:val="Normal"/>
    <w:link w:val="Ttulo3Car"/>
    <w:uiPriority w:val="9"/>
    <w:semiHidden/>
    <w:unhideWhenUsed/>
    <w:qFormat/>
    <w:rsid w:val="00157630"/>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157630"/>
    <w:pPr>
      <w:keepNext/>
      <w:keepLines/>
      <w:spacing w:before="240" w:after="40"/>
      <w:outlineLvl w:val="3"/>
    </w:pPr>
    <w:rPr>
      <w:b/>
    </w:rPr>
  </w:style>
  <w:style w:type="paragraph" w:styleId="Ttulo5">
    <w:name w:val="heading 5"/>
    <w:basedOn w:val="Normal"/>
    <w:next w:val="Normal"/>
    <w:link w:val="Ttulo5Car"/>
    <w:uiPriority w:val="9"/>
    <w:semiHidden/>
    <w:unhideWhenUsed/>
    <w:qFormat/>
    <w:rsid w:val="00157630"/>
    <w:pPr>
      <w:keepNext/>
      <w:keepLines/>
      <w:spacing w:before="220" w:after="40"/>
      <w:outlineLvl w:val="4"/>
    </w:pPr>
    <w:rPr>
      <w:b/>
      <w:sz w:val="22"/>
      <w:szCs w:val="22"/>
    </w:rPr>
  </w:style>
  <w:style w:type="paragraph" w:styleId="Ttulo6">
    <w:name w:val="heading 6"/>
    <w:basedOn w:val="Normal"/>
    <w:next w:val="Normal"/>
    <w:link w:val="Ttulo6Car"/>
    <w:uiPriority w:val="9"/>
    <w:semiHidden/>
    <w:unhideWhenUsed/>
    <w:qFormat/>
    <w:rsid w:val="00157630"/>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ar"/>
    <w:uiPriority w:val="10"/>
    <w:qFormat/>
    <w:rsid w:val="00157630"/>
    <w:pPr>
      <w:keepNext/>
      <w:keepLines/>
      <w:spacing w:before="480" w:after="120"/>
    </w:pPr>
    <w:rPr>
      <w:b/>
      <w:sz w:val="72"/>
      <w:szCs w:val="72"/>
    </w:rPr>
  </w:style>
  <w:style w:type="paragraph" w:styleId="Revisin">
    <w:name w:val="Revision"/>
    <w:hidden/>
    <w:uiPriority w:val="99"/>
    <w:semiHidden/>
    <w:rsid w:val="006637A5"/>
  </w:style>
  <w:style w:type="character" w:customStyle="1" w:styleId="Ttulo1Car">
    <w:name w:val="Título 1 Car"/>
    <w:basedOn w:val="Fuentedeprrafopredeter"/>
    <w:link w:val="Ttulo1"/>
    <w:uiPriority w:val="9"/>
    <w:rsid w:val="00157630"/>
    <w:rPr>
      <w:rFonts w:ascii="Calibri" w:eastAsia="Calibri" w:hAnsi="Calibri" w:cs="Calibri"/>
      <w:b/>
      <w:sz w:val="48"/>
      <w:szCs w:val="48"/>
      <w:lang w:val="es-ES" w:eastAsia="es-MX"/>
    </w:rPr>
  </w:style>
  <w:style w:type="character" w:customStyle="1" w:styleId="Ttulo2Car">
    <w:name w:val="Título 2 Car"/>
    <w:basedOn w:val="Fuentedeprrafopredeter"/>
    <w:link w:val="Ttulo2"/>
    <w:uiPriority w:val="9"/>
    <w:semiHidden/>
    <w:rsid w:val="00157630"/>
    <w:rPr>
      <w:rFonts w:ascii="Calibri" w:eastAsia="Calibri" w:hAnsi="Calibri" w:cs="Calibri"/>
      <w:b/>
      <w:sz w:val="36"/>
      <w:szCs w:val="36"/>
      <w:lang w:val="es-ES" w:eastAsia="es-MX"/>
    </w:rPr>
  </w:style>
  <w:style w:type="character" w:customStyle="1" w:styleId="Ttulo3Car">
    <w:name w:val="Título 3 Car"/>
    <w:basedOn w:val="Fuentedeprrafopredeter"/>
    <w:link w:val="Ttulo3"/>
    <w:uiPriority w:val="9"/>
    <w:semiHidden/>
    <w:rsid w:val="00157630"/>
    <w:rPr>
      <w:rFonts w:ascii="Calibri" w:eastAsia="Calibri" w:hAnsi="Calibri" w:cs="Calibri"/>
      <w:b/>
      <w:sz w:val="28"/>
      <w:szCs w:val="28"/>
      <w:lang w:val="es-ES" w:eastAsia="es-MX"/>
    </w:rPr>
  </w:style>
  <w:style w:type="character" w:customStyle="1" w:styleId="Ttulo4Car">
    <w:name w:val="Título 4 Car"/>
    <w:basedOn w:val="Fuentedeprrafopredeter"/>
    <w:link w:val="Ttulo4"/>
    <w:uiPriority w:val="9"/>
    <w:semiHidden/>
    <w:rsid w:val="00157630"/>
    <w:rPr>
      <w:rFonts w:ascii="Calibri" w:eastAsia="Calibri" w:hAnsi="Calibri" w:cs="Calibri"/>
      <w:b/>
      <w:lang w:val="es-ES" w:eastAsia="es-MX"/>
    </w:rPr>
  </w:style>
  <w:style w:type="character" w:customStyle="1" w:styleId="Ttulo5Car">
    <w:name w:val="Título 5 Car"/>
    <w:basedOn w:val="Fuentedeprrafopredeter"/>
    <w:link w:val="Ttulo5"/>
    <w:uiPriority w:val="9"/>
    <w:semiHidden/>
    <w:rsid w:val="00157630"/>
    <w:rPr>
      <w:rFonts w:ascii="Calibri" w:eastAsia="Calibri" w:hAnsi="Calibri" w:cs="Calibri"/>
      <w:b/>
      <w:sz w:val="22"/>
      <w:szCs w:val="22"/>
      <w:lang w:val="es-ES" w:eastAsia="es-MX"/>
    </w:rPr>
  </w:style>
  <w:style w:type="character" w:customStyle="1" w:styleId="Ttulo6Car">
    <w:name w:val="Título 6 Car"/>
    <w:basedOn w:val="Fuentedeprrafopredeter"/>
    <w:link w:val="Ttulo6"/>
    <w:uiPriority w:val="9"/>
    <w:semiHidden/>
    <w:rsid w:val="00157630"/>
    <w:rPr>
      <w:rFonts w:ascii="Calibri" w:eastAsia="Calibri" w:hAnsi="Calibri" w:cs="Calibri"/>
      <w:b/>
      <w:sz w:val="20"/>
      <w:szCs w:val="20"/>
      <w:lang w:val="es-ES" w:eastAsia="es-MX"/>
    </w:rPr>
  </w:style>
  <w:style w:type="character" w:customStyle="1" w:styleId="TtuloCar">
    <w:name w:val="Título Car"/>
    <w:basedOn w:val="Fuentedeprrafopredeter"/>
    <w:link w:val="Ttulo"/>
    <w:uiPriority w:val="10"/>
    <w:rsid w:val="00157630"/>
    <w:rPr>
      <w:rFonts w:ascii="Calibri" w:eastAsia="Calibri" w:hAnsi="Calibri" w:cs="Calibri"/>
      <w:b/>
      <w:sz w:val="72"/>
      <w:szCs w:val="72"/>
      <w:lang w:val="es-ES" w:eastAsia="es-MX"/>
    </w:rPr>
  </w:style>
  <w:style w:type="paragraph" w:styleId="Subttulo">
    <w:name w:val="Subtitle"/>
    <w:basedOn w:val="Normal"/>
    <w:next w:val="Normal"/>
    <w:link w:val="SubttuloCar"/>
    <w:uiPriority w:val="11"/>
    <w:qFormat/>
    <w:pPr>
      <w:keepNext/>
      <w:keepLines/>
      <w:spacing w:before="360" w:after="80"/>
    </w:pPr>
    <w:rPr>
      <w:rFonts w:ascii="Georgia" w:eastAsia="Georgia" w:hAnsi="Georgia" w:cs="Georgia"/>
      <w:i/>
      <w:color w:val="666666"/>
      <w:sz w:val="48"/>
      <w:szCs w:val="48"/>
    </w:rPr>
  </w:style>
  <w:style w:type="character" w:customStyle="1" w:styleId="SubttuloCar">
    <w:name w:val="Subtítulo Car"/>
    <w:basedOn w:val="Fuentedeprrafopredeter"/>
    <w:link w:val="Subttulo"/>
    <w:uiPriority w:val="11"/>
    <w:rsid w:val="00157630"/>
    <w:rPr>
      <w:rFonts w:ascii="Georgia" w:eastAsia="Georgia" w:hAnsi="Georgia" w:cs="Georgia"/>
      <w:i/>
      <w:color w:val="666666"/>
      <w:sz w:val="48"/>
      <w:szCs w:val="48"/>
      <w:lang w:val="es-ES" w:eastAsia="es-MX"/>
    </w:rPr>
  </w:style>
  <w:style w:type="character" w:customStyle="1" w:styleId="EncabezadoCar">
    <w:name w:val="Encabezado Car"/>
    <w:basedOn w:val="Fuentedeprrafopredeter"/>
    <w:link w:val="Encabezado"/>
    <w:uiPriority w:val="99"/>
    <w:semiHidden/>
    <w:rsid w:val="00157630"/>
    <w:rPr>
      <w:rFonts w:ascii="Calibri" w:eastAsia="Calibri" w:hAnsi="Calibri" w:cs="Calibri"/>
      <w:lang w:val="es-ES" w:eastAsia="es-MX"/>
    </w:rPr>
  </w:style>
  <w:style w:type="paragraph" w:styleId="Encabezado">
    <w:name w:val="header"/>
    <w:basedOn w:val="Normal"/>
    <w:link w:val="EncabezadoCar"/>
    <w:uiPriority w:val="99"/>
    <w:semiHidden/>
    <w:unhideWhenUsed/>
    <w:rsid w:val="00157630"/>
    <w:pPr>
      <w:tabs>
        <w:tab w:val="center" w:pos="4252"/>
        <w:tab w:val="right" w:pos="8504"/>
      </w:tabs>
    </w:pPr>
  </w:style>
  <w:style w:type="character" w:customStyle="1" w:styleId="PiedepginaCar">
    <w:name w:val="Pie de página Car"/>
    <w:basedOn w:val="Fuentedeprrafopredeter"/>
    <w:link w:val="Piedepgina"/>
    <w:uiPriority w:val="99"/>
    <w:semiHidden/>
    <w:rsid w:val="00157630"/>
    <w:rPr>
      <w:rFonts w:ascii="Calibri" w:eastAsia="Calibri" w:hAnsi="Calibri" w:cs="Calibri"/>
      <w:lang w:val="es-ES" w:eastAsia="es-MX"/>
    </w:rPr>
  </w:style>
  <w:style w:type="paragraph" w:styleId="Piedepgina">
    <w:name w:val="footer"/>
    <w:basedOn w:val="Normal"/>
    <w:link w:val="PiedepginaCar"/>
    <w:uiPriority w:val="99"/>
    <w:semiHidden/>
    <w:unhideWhenUsed/>
    <w:rsid w:val="00157630"/>
    <w:pPr>
      <w:tabs>
        <w:tab w:val="center" w:pos="4252"/>
        <w:tab w:val="right" w:pos="8504"/>
      </w:tabs>
    </w:pPr>
  </w:style>
  <w:style w:type="paragraph" w:styleId="Textocomentario">
    <w:name w:val="annotation text"/>
    <w:basedOn w:val="Normal"/>
    <w:link w:val="TextocomentarioCar"/>
    <w:uiPriority w:val="99"/>
    <w:unhideWhenUsed/>
    <w:rsid w:val="00157630"/>
    <w:rPr>
      <w:sz w:val="20"/>
      <w:szCs w:val="20"/>
    </w:rPr>
  </w:style>
  <w:style w:type="character" w:customStyle="1" w:styleId="TextocomentarioCar">
    <w:name w:val="Texto comentario Car"/>
    <w:basedOn w:val="Fuentedeprrafopredeter"/>
    <w:link w:val="Textocomentario"/>
    <w:uiPriority w:val="99"/>
    <w:rsid w:val="00157630"/>
    <w:rPr>
      <w:rFonts w:ascii="Calibri" w:eastAsia="Calibri" w:hAnsi="Calibri" w:cs="Calibri"/>
      <w:sz w:val="20"/>
      <w:szCs w:val="20"/>
      <w:lang w:val="es-ES" w:eastAsia="es-MX"/>
    </w:rPr>
  </w:style>
  <w:style w:type="character" w:customStyle="1" w:styleId="AsuntodelcomentarioCar">
    <w:name w:val="Asunto del comentario Car"/>
    <w:basedOn w:val="TextocomentarioCar"/>
    <w:link w:val="Asuntodelcomentario"/>
    <w:uiPriority w:val="99"/>
    <w:semiHidden/>
    <w:rsid w:val="00157630"/>
    <w:rPr>
      <w:rFonts w:ascii="Calibri" w:eastAsia="Calibri" w:hAnsi="Calibri" w:cs="Calibri"/>
      <w:b/>
      <w:bCs/>
      <w:sz w:val="20"/>
      <w:szCs w:val="20"/>
      <w:lang w:val="es-ES" w:eastAsia="es-MX"/>
    </w:rPr>
  </w:style>
  <w:style w:type="paragraph" w:styleId="Asuntodelcomentario">
    <w:name w:val="annotation subject"/>
    <w:basedOn w:val="Textocomentario"/>
    <w:next w:val="Textocomentario"/>
    <w:link w:val="AsuntodelcomentarioCar"/>
    <w:uiPriority w:val="99"/>
    <w:semiHidden/>
    <w:unhideWhenUsed/>
    <w:rsid w:val="00157630"/>
    <w:rPr>
      <w:b/>
      <w:bCs/>
    </w:rPr>
  </w:style>
  <w:style w:type="paragraph" w:styleId="Textonotapie">
    <w:name w:val="footnote text"/>
    <w:basedOn w:val="Normal"/>
    <w:link w:val="TextonotapieCar"/>
    <w:uiPriority w:val="99"/>
    <w:semiHidden/>
    <w:unhideWhenUsed/>
    <w:rsid w:val="00157630"/>
    <w:rPr>
      <w:sz w:val="20"/>
      <w:szCs w:val="20"/>
    </w:rPr>
  </w:style>
  <w:style w:type="character" w:customStyle="1" w:styleId="TextonotapieCar">
    <w:name w:val="Texto nota pie Car"/>
    <w:basedOn w:val="Fuentedeprrafopredeter"/>
    <w:link w:val="Textonotapie"/>
    <w:uiPriority w:val="99"/>
    <w:semiHidden/>
    <w:rsid w:val="00157630"/>
    <w:rPr>
      <w:rFonts w:ascii="Calibri" w:eastAsia="Calibri" w:hAnsi="Calibri" w:cs="Calibri"/>
      <w:sz w:val="20"/>
      <w:szCs w:val="20"/>
      <w:lang w:val="es-ES" w:eastAsia="es-MX"/>
    </w:rPr>
  </w:style>
  <w:style w:type="character" w:styleId="Refdenotaalpie">
    <w:name w:val="footnote reference"/>
    <w:basedOn w:val="Fuentedeprrafopredeter"/>
    <w:uiPriority w:val="99"/>
    <w:semiHidden/>
    <w:unhideWhenUsed/>
    <w:rsid w:val="00157630"/>
    <w:rPr>
      <w:vertAlign w:val="superscript"/>
    </w:rPr>
  </w:style>
  <w:style w:type="table" w:customStyle="1" w:styleId="a">
    <w:basedOn w:val="Tablanormal"/>
    <w:tblPr>
      <w:tblStyleRowBandSize w:val="1"/>
      <w:tblStyleColBandSize w:val="1"/>
      <w:tblInd w:w="0" w:type="nil"/>
      <w:tblCellMar>
        <w:top w:w="100" w:type="dxa"/>
        <w:left w:w="100" w:type="dxa"/>
        <w:bottom w:w="100" w:type="dxa"/>
        <w:right w:w="100" w:type="dxa"/>
      </w:tblCellMar>
    </w:tblPr>
  </w:style>
  <w:style w:type="table" w:customStyle="1" w:styleId="a0">
    <w:basedOn w:val="Tablanormal"/>
    <w:tblPr>
      <w:tblStyleRowBandSize w:val="1"/>
      <w:tblStyleColBandSize w:val="1"/>
      <w:tblInd w:w="0" w:type="nil"/>
      <w:tblCellMar>
        <w:top w:w="100" w:type="dxa"/>
        <w:left w:w="100" w:type="dxa"/>
        <w:bottom w:w="100" w:type="dxa"/>
        <w:right w:w="100" w:type="dxa"/>
      </w:tblCellMar>
    </w:tblPr>
  </w:style>
  <w:style w:type="table" w:customStyle="1" w:styleId="a1">
    <w:basedOn w:val="Tablanormal"/>
    <w:tblPr>
      <w:tblStyleRowBandSize w:val="1"/>
      <w:tblStyleColBandSize w:val="1"/>
      <w:tblInd w:w="0" w:type="nil"/>
      <w:tblCellMar>
        <w:top w:w="100" w:type="dxa"/>
        <w:left w:w="100" w:type="dxa"/>
        <w:bottom w:w="100" w:type="dxa"/>
        <w:right w:w="100" w:type="dxa"/>
      </w:tblCellMar>
    </w:tblPr>
  </w:style>
  <w:style w:type="table" w:customStyle="1" w:styleId="a2">
    <w:basedOn w:val="Tablanormal"/>
    <w:tblPr>
      <w:tblStyleRowBandSize w:val="1"/>
      <w:tblStyleColBandSize w:val="1"/>
      <w:tblInd w:w="0" w:type="nil"/>
      <w:tblCellMar>
        <w:top w:w="100" w:type="dxa"/>
        <w:left w:w="100" w:type="dxa"/>
        <w:bottom w:w="100" w:type="dxa"/>
        <w:right w:w="100" w:type="dxa"/>
      </w:tblCellMar>
    </w:tblPr>
  </w:style>
  <w:style w:type="table" w:customStyle="1" w:styleId="a3">
    <w:basedOn w:val="Tablanormal"/>
    <w:tblPr>
      <w:tblStyleRowBandSize w:val="1"/>
      <w:tblStyleColBandSize w:val="1"/>
      <w:tblInd w:w="0" w:type="nil"/>
      <w:tblCellMar>
        <w:top w:w="100" w:type="dxa"/>
        <w:left w:w="100" w:type="dxa"/>
        <w:bottom w:w="100" w:type="dxa"/>
        <w:right w:w="100" w:type="dxa"/>
      </w:tblCellMar>
    </w:tblPr>
  </w:style>
  <w:style w:type="table" w:customStyle="1" w:styleId="a4">
    <w:basedOn w:val="Tablanormal"/>
    <w:tblPr>
      <w:tblStyleRowBandSize w:val="1"/>
      <w:tblStyleColBandSize w:val="1"/>
      <w:tblInd w:w="0" w:type="nil"/>
      <w:tblCellMar>
        <w:top w:w="100" w:type="dxa"/>
        <w:left w:w="100" w:type="dxa"/>
        <w:bottom w:w="100" w:type="dxa"/>
        <w:right w:w="100" w:type="dxa"/>
      </w:tblCellMar>
    </w:tblPr>
  </w:style>
  <w:style w:type="table" w:customStyle="1" w:styleId="a5">
    <w:basedOn w:val="Tablanormal"/>
    <w:tblPr>
      <w:tblStyleRowBandSize w:val="1"/>
      <w:tblStyleColBandSize w:val="1"/>
      <w:tblInd w:w="0" w:type="nil"/>
      <w:tblCellMar>
        <w:top w:w="100" w:type="dxa"/>
        <w:left w:w="100" w:type="dxa"/>
        <w:bottom w:w="100" w:type="dxa"/>
        <w:right w:w="100" w:type="dxa"/>
      </w:tblCellMar>
    </w:tblPr>
  </w:style>
  <w:style w:type="table" w:customStyle="1" w:styleId="TableNormal1">
    <w:name w:val="Table Normal1"/>
    <w:rsid w:val="00C03194"/>
    <w:tblPr>
      <w:tblCellMar>
        <w:top w:w="0" w:type="dxa"/>
        <w:left w:w="0" w:type="dxa"/>
        <w:bottom w:w="0" w:type="dxa"/>
        <w:right w:w="0" w:type="dxa"/>
      </w:tblCellMar>
    </w:tblPr>
  </w:style>
  <w:style w:type="table" w:customStyle="1" w:styleId="a6">
    <w:basedOn w:val="Tablanormal"/>
    <w:tblPr>
      <w:tblStyleRowBandSize w:val="1"/>
      <w:tblStyleColBandSize w:val="1"/>
      <w:tblCellMar>
        <w:top w:w="100" w:type="dxa"/>
        <w:left w:w="100" w:type="dxa"/>
        <w:bottom w:w="100" w:type="dxa"/>
        <w:right w:w="100" w:type="dxa"/>
      </w:tblCellMar>
    </w:tblPr>
  </w:style>
  <w:style w:type="table" w:customStyle="1" w:styleId="a7">
    <w:basedOn w:val="Tablanormal"/>
    <w:tblPr>
      <w:tblStyleRowBandSize w:val="1"/>
      <w:tblStyleColBandSize w:val="1"/>
      <w:tblCellMar>
        <w:top w:w="100" w:type="dxa"/>
        <w:left w:w="100" w:type="dxa"/>
        <w:bottom w:w="100" w:type="dxa"/>
        <w:right w:w="100" w:type="dxa"/>
      </w:tblCellMar>
    </w:tblPr>
  </w:style>
  <w:style w:type="table" w:customStyle="1" w:styleId="a8">
    <w:basedOn w:val="Tablanormal"/>
    <w:tblPr>
      <w:tblStyleRowBandSize w:val="1"/>
      <w:tblStyleColBandSize w:val="1"/>
      <w:tblCellMar>
        <w:top w:w="100" w:type="dxa"/>
        <w:left w:w="100" w:type="dxa"/>
        <w:bottom w:w="100" w:type="dxa"/>
        <w:right w:w="100" w:type="dxa"/>
      </w:tblCellMar>
    </w:tblPr>
  </w:style>
  <w:style w:type="table" w:customStyle="1" w:styleId="a9">
    <w:basedOn w:val="Tablanormal"/>
    <w:tblPr>
      <w:tblStyleRowBandSize w:val="1"/>
      <w:tblStyleColBandSize w:val="1"/>
      <w:tblCellMar>
        <w:top w:w="100" w:type="dxa"/>
        <w:left w:w="100" w:type="dxa"/>
        <w:bottom w:w="100" w:type="dxa"/>
        <w:right w:w="100" w:type="dxa"/>
      </w:tblCellMar>
    </w:tblPr>
  </w:style>
  <w:style w:type="table" w:customStyle="1" w:styleId="aa">
    <w:basedOn w:val="Tablanormal"/>
    <w:tblPr>
      <w:tblStyleRowBandSize w:val="1"/>
      <w:tblStyleColBandSize w:val="1"/>
      <w:tblCellMar>
        <w:top w:w="100" w:type="dxa"/>
        <w:left w:w="100" w:type="dxa"/>
        <w:bottom w:w="100" w:type="dxa"/>
        <w:right w:w="100" w:type="dxa"/>
      </w:tblCellMar>
    </w:tblPr>
  </w:style>
  <w:style w:type="table" w:customStyle="1" w:styleId="ab">
    <w:basedOn w:val="Tablanormal"/>
    <w:tblPr>
      <w:tblStyleRowBandSize w:val="1"/>
      <w:tblStyleColBandSize w:val="1"/>
      <w:tblCellMar>
        <w:top w:w="100" w:type="dxa"/>
        <w:left w:w="100" w:type="dxa"/>
        <w:bottom w:w="100" w:type="dxa"/>
        <w:right w:w="100" w:type="dxa"/>
      </w:tblCellMar>
    </w:tblPr>
  </w:style>
  <w:style w:type="character" w:styleId="Refdecomentario">
    <w:name w:val="annotation reference"/>
    <w:basedOn w:val="Fuentedeprrafopredeter"/>
    <w:uiPriority w:val="99"/>
    <w:semiHidden/>
    <w:unhideWhenUsed/>
    <w:rsid w:val="00051E6D"/>
    <w:rPr>
      <w:sz w:val="16"/>
      <w:szCs w:val="16"/>
    </w:rPr>
  </w:style>
  <w:style w:type="table" w:customStyle="1" w:styleId="ac">
    <w:basedOn w:val="Tablanormal"/>
    <w:tblPr>
      <w:tblStyleRowBandSize w:val="1"/>
      <w:tblStyleColBandSize w:val="1"/>
      <w:tblInd w:w="0" w:type="nil"/>
      <w:tblCellMar>
        <w:top w:w="100" w:type="dxa"/>
        <w:left w:w="100" w:type="dxa"/>
        <w:bottom w:w="100" w:type="dxa"/>
        <w:right w:w="100" w:type="dxa"/>
      </w:tblCellMar>
    </w:tblPr>
  </w:style>
  <w:style w:type="table" w:customStyle="1" w:styleId="ad">
    <w:basedOn w:val="Tablanormal"/>
    <w:tblPr>
      <w:tblStyleRowBandSize w:val="1"/>
      <w:tblStyleColBandSize w:val="1"/>
      <w:tblInd w:w="0" w:type="nil"/>
      <w:tblCellMar>
        <w:top w:w="100" w:type="dxa"/>
        <w:left w:w="100" w:type="dxa"/>
        <w:bottom w:w="100" w:type="dxa"/>
        <w:right w:w="100" w:type="dxa"/>
      </w:tblCellMar>
    </w:tblPr>
  </w:style>
  <w:style w:type="table" w:customStyle="1" w:styleId="ae">
    <w:basedOn w:val="Tablanormal"/>
    <w:tblPr>
      <w:tblStyleRowBandSize w:val="1"/>
      <w:tblStyleColBandSize w:val="1"/>
      <w:tblInd w:w="0" w:type="nil"/>
      <w:tblCellMar>
        <w:top w:w="100" w:type="dxa"/>
        <w:left w:w="100" w:type="dxa"/>
        <w:bottom w:w="100" w:type="dxa"/>
        <w:right w:w="100" w:type="dxa"/>
      </w:tblCellMar>
    </w:tblPr>
  </w:style>
  <w:style w:type="table" w:customStyle="1" w:styleId="af">
    <w:basedOn w:val="Tablanormal"/>
    <w:tblPr>
      <w:tblStyleRowBandSize w:val="1"/>
      <w:tblStyleColBandSize w:val="1"/>
      <w:tblInd w:w="0" w:type="nil"/>
      <w:tblCellMar>
        <w:top w:w="100" w:type="dxa"/>
        <w:left w:w="100" w:type="dxa"/>
        <w:bottom w:w="100" w:type="dxa"/>
        <w:right w:w="100" w:type="dxa"/>
      </w:tblCellMar>
    </w:tblPr>
  </w:style>
  <w:style w:type="table" w:customStyle="1" w:styleId="af0">
    <w:basedOn w:val="Tablanormal"/>
    <w:tblPr>
      <w:tblStyleRowBandSize w:val="1"/>
      <w:tblStyleColBandSize w:val="1"/>
      <w:tblInd w:w="0" w:type="nil"/>
      <w:tblCellMar>
        <w:top w:w="100" w:type="dxa"/>
        <w:left w:w="100" w:type="dxa"/>
        <w:bottom w:w="100" w:type="dxa"/>
        <w:right w:w="100" w:type="dxa"/>
      </w:tblCellMar>
    </w:tblPr>
  </w:style>
  <w:style w:type="table" w:customStyle="1" w:styleId="af1">
    <w:basedOn w:val="Tablanormal"/>
    <w:tblPr>
      <w:tblStyleRowBandSize w:val="1"/>
      <w:tblStyleColBandSize w:val="1"/>
      <w:tblInd w:w="0" w:type="nil"/>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ustomXml" Target="../customXml/item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customXml" Target="../customXml/item4.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Y595a/nyFEsw9hBKz5f3/WOPEQ==">AMUW2mUImG5/J/F8nEsjGv7iQ+ynDw+wNy8dp5d0pKncMx9xGDcPduQbj1DP77FIKaSpLse+4BV3DQ1z45ZdyXAuH8UXCwQsuF2X/tp5FdWuxRrnJr3+ckw9Kvarp0Lr8PTGEcE+wXaB</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8DF1E72B414054598023D5A721AC434" ma:contentTypeVersion="13" ma:contentTypeDescription="Crear nuevo documento." ma:contentTypeScope="" ma:versionID="f26d9bf56203a074f4e032bae72c8852">
  <xsd:schema xmlns:xsd="http://www.w3.org/2001/XMLSchema" xmlns:xs="http://www.w3.org/2001/XMLSchema" xmlns:p="http://schemas.microsoft.com/office/2006/metadata/properties" xmlns:ns2="8175d881-c252-4cc7-85ac-127631b324fb" xmlns:ns3="7463e6f2-4cf7-4f37-8a7b-859c1e512b3c" targetNamespace="http://schemas.microsoft.com/office/2006/metadata/properties" ma:root="true" ma:fieldsID="448190b95aabae84813113fa1c340a82" ns2:_="" ns3:_="">
    <xsd:import namespace="8175d881-c252-4cc7-85ac-127631b324fb"/>
    <xsd:import namespace="7463e6f2-4cf7-4f37-8a7b-859c1e512b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175d881-c252-4cc7-85ac-127631b324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3e6f2-4cf7-4f37-8a7b-859c1e512b3c" elementFormDefault="qualified">
    <xsd:import namespace="http://schemas.microsoft.com/office/2006/documentManagement/types"/>
    <xsd:import namespace="http://schemas.microsoft.com/office/infopath/2007/PartnerControls"/>
    <xsd:element name="SharedWithUsers" ma:index="13"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SharedWithUsers xmlns="7463e6f2-4cf7-4f37-8a7b-859c1e512b3c">
      <UserInfo>
        <DisplayName/>
        <AccountId xsi:nil="true"/>
        <AccountType/>
      </UserInfo>
    </SharedWithUsers>
    <MediaLengthInSeconds xmlns="8175d881-c252-4cc7-85ac-127631b324fb" xsi:nil="true"/>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9B648CB-ED8F-9E43-9A27-603D6B43E25E}">
  <ds:schemaRefs>
    <ds:schemaRef ds:uri="http://schemas.openxmlformats.org/officeDocument/2006/bibliography"/>
  </ds:schemaRefs>
</ds:datastoreItem>
</file>

<file path=customXml/itemProps3.xml><?xml version="1.0" encoding="utf-8"?>
<ds:datastoreItem xmlns:ds="http://schemas.openxmlformats.org/officeDocument/2006/customXml" ds:itemID="{BEF13141-7877-479C-9795-B40FF3100AEE}"/>
</file>

<file path=customXml/itemProps4.xml><?xml version="1.0" encoding="utf-8"?>
<ds:datastoreItem xmlns:ds="http://schemas.openxmlformats.org/officeDocument/2006/customXml" ds:itemID="{50A0AE1C-883E-4DD0-8093-0300EFBF4AEE}"/>
</file>

<file path=customXml/itemProps5.xml><?xml version="1.0" encoding="utf-8"?>
<ds:datastoreItem xmlns:ds="http://schemas.openxmlformats.org/officeDocument/2006/customXml" ds:itemID="{897FBB4C-E7B2-4C4F-8404-629A40742DD3}"/>
</file>

<file path=docProps/app.xml><?xml version="1.0" encoding="utf-8"?>
<Properties xmlns="http://schemas.openxmlformats.org/officeDocument/2006/extended-properties" xmlns:vt="http://schemas.openxmlformats.org/officeDocument/2006/docPropsVTypes">
  <Template>Normal</Template>
  <TotalTime>16</TotalTime>
  <Pages>18</Pages>
  <Words>2901</Words>
  <Characters>15960</Characters>
  <Application>Microsoft Office Word</Application>
  <DocSecurity>0</DocSecurity>
  <Lines>133</Lines>
  <Paragraphs>37</Paragraphs>
  <ScaleCrop>false</ScaleCrop>
  <Company/>
  <LinksUpToDate>false</LinksUpToDate>
  <CharactersWithSpaces>18824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ARNALDO RUIZ</dc:creator>
  <cp:keywords/>
  <cp:lastModifiedBy>BACA NAKAKAWA ARON</cp:lastModifiedBy>
  <cp:revision>20</cp:revision>
  <dcterms:created xsi:type="dcterms:W3CDTF">2022-03-09T00:53:00Z</dcterms:created>
  <dcterms:modified xsi:type="dcterms:W3CDTF">2022-03-12T18:48:00Z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0x010100C8DF1E72B414054598023D5A721AC434</vt:lpwstr>
  </property>
  <property fmtid="{D5CDD505-2E9C-101B-9397-08002B2CF9AE}" pid="3" name="Order">
    <vt:r8>58394800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y fmtid="{D5CDD505-2E9C-101B-9397-08002B2CF9AE}" pid="10" name="_SourceUrl">
    <vt:lpwstr/>
  </property>
  <property fmtid="{D5CDD505-2E9C-101B-9397-08002B2CF9AE}" pid="11" name="_SharedFileIndex">
    <vt:lpwstr/>
  </property>
</Properties>
</file>